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rPr>
          <w:rFonts w:ascii="等线" w:hAnsi="等线" w:eastAsia="等线"/>
          <w:color w:val="000000"/>
          <w:sz w:val="44"/>
        </w:rPr>
        <w:t>报告封面</w:t>
      </w:r>
    </w:p>
    <w:p>
      <w:pPr>
        <w:jc w:val="left"/>
      </w:pPr>
      <w:r>
        <w:rPr>
          <w:rFonts w:ascii="等线" w:hAnsi="等线" w:eastAsia="等线"/>
          <w:b w:val="0"/>
          <w:sz w:val="21"/>
        </w:rPr>
      </w:r>
    </w:p>
    <w:p>
      <w:pPr>
        <w:jc w:val="center"/>
      </w:pPr>
      <w:r>
        <w:rPr>
          <w:rFonts w:ascii="等线" w:hAnsi="等线" w:eastAsia="等线"/>
          <w:b w:val="0"/>
          <w:sz w:val="84"/>
        </w:rPr>
        <w:t>A股为主加H股气候测试</w:t>
      </w:r>
    </w:p>
    <w:p>
      <w:pPr>
        <w:jc w:val="center"/>
      </w:pPr>
      <w:r>
        <w:rPr>
          <w:rFonts w:ascii="等线" w:hAnsi="等线" w:eastAsia="等线"/>
          <w:b w:val="0"/>
          <w:sz w:val="84"/>
        </w:rPr>
        <w:t>2023年度</w:t>
      </w:r>
    </w:p>
    <w:p>
      <w:pPr>
        <w:jc w:val="center"/>
      </w:pPr>
      <w:r>
        <w:rPr>
          <w:rFonts w:ascii="等线" w:hAnsi="等线" w:eastAsia="等线"/>
          <w:b w:val="0"/>
          <w:sz w:val="84"/>
        </w:rPr>
        <w:t>环境、社会及管治报告</w:t>
      </w:r>
    </w:p>
    <w:p>
      <w:r>
        <w:br w:type="page"/>
      </w:r>
    </w:p>
    <w:p>
      <w:pPr>
        <w:pStyle w:val="Heading1"/>
      </w:pPr>
      <w:r>
        <w:rPr>
          <w:rFonts w:ascii="等线" w:hAnsi="等线" w:eastAsia="等线"/>
          <w:color w:val="000000"/>
          <w:sz w:val="44"/>
        </w:rPr>
        <w:t>关于报告</w:t>
      </w:r>
    </w:p>
    <w:p>
      <w:pPr>
        <w:pStyle w:val="Heading2"/>
      </w:pPr>
      <w:r>
        <w:rPr>
          <w:rFonts w:ascii="等线" w:hAnsi="等线" w:eastAsia="等线"/>
          <w:color w:val="000000"/>
          <w:sz w:val="32"/>
        </w:rPr>
        <w:t>报告范围与边界</w:t>
      </w:r>
    </w:p>
    <w:p>
      <w:pPr>
        <w:jc w:val="left"/>
      </w:pPr>
      <w:r>
        <w:rPr>
          <w:rFonts w:ascii="等线" w:hAnsi="等线" w:eastAsia="等线"/>
          <w:b w:val="0"/>
          <w:sz w:val="21"/>
        </w:rPr>
        <w:t>本报告所含经营实体范围与年报一致。</w:t>
        <w:br/>
        <w:t>具体包含如下几个公司：</w:t>
        <w:br/>
        <w:t>1.XXX有限公司</w:t>
        <w:br/>
        <w:t>2.YYY有限公司</w:t>
      </w:r>
    </w:p>
    <w:p>
      <w:pPr>
        <w:pStyle w:val="Heading2"/>
      </w:pPr>
      <w:r>
        <w:rPr>
          <w:rFonts w:ascii="等线" w:hAnsi="等线" w:eastAsia="等线"/>
          <w:color w:val="000000"/>
          <w:sz w:val="32"/>
        </w:rPr>
        <w:t>报告时间范围</w:t>
      </w:r>
    </w:p>
    <w:p>
      <w:pPr>
        <w:jc w:val="left"/>
      </w:pPr>
      <w:r>
        <w:rPr>
          <w:rFonts w:ascii="等线" w:hAnsi="等线" w:eastAsia="等线"/>
          <w:b w:val="0"/>
          <w:sz w:val="21"/>
        </w:rPr>
        <w:t>本报告覆盖的周期为 2023年 1 月 1 日至 2023 年 12 月 31 日（简称“报告期”），部分内容追溯以往年份及涵盖 2024年第一季度。</w:t>
      </w:r>
    </w:p>
    <w:p>
      <w:pPr>
        <w:pStyle w:val="Heading2"/>
      </w:pPr>
      <w:r>
        <w:rPr>
          <w:rFonts w:ascii="等线" w:hAnsi="等线" w:eastAsia="等线"/>
          <w:color w:val="000000"/>
          <w:sz w:val="32"/>
        </w:rPr>
        <w:t>参照标准</w:t>
      </w:r>
    </w:p>
    <w:p>
      <w:pPr>
        <w:jc w:val="left"/>
      </w:pPr>
      <w:r>
        <w:rPr>
          <w:rFonts w:ascii="等线" w:hAnsi="等线" w:eastAsia="等线"/>
          <w:b w:val="0"/>
          <w:sz w:val="21"/>
        </w:rPr>
        <w:t>本报告主要参照《上海证券交易所上市公司自律监管指引第14号——可持续发展报告（试行）》，同时参考与回应了联合国可持续发展目标（SDGs）、国际可持续准则理事会（ISSB）标准、可持续发展会计准则委员会（SASB）准则等标准编写。</w:t>
      </w:r>
    </w:p>
    <w:p>
      <w:pPr>
        <w:pStyle w:val="Heading2"/>
      </w:pPr>
      <w:r>
        <w:rPr>
          <w:rFonts w:ascii="等线" w:hAnsi="等线" w:eastAsia="等线"/>
          <w:color w:val="000000"/>
          <w:sz w:val="32"/>
        </w:rPr>
        <w:t>可靠性</w:t>
      </w:r>
    </w:p>
    <w:p>
      <w:pPr>
        <w:jc w:val="left"/>
      </w:pPr>
      <w:r>
        <w:rPr>
          <w:rFonts w:ascii="等线" w:hAnsi="等线" w:eastAsia="等线"/>
          <w:b w:val="0"/>
          <w:sz w:val="21"/>
        </w:rPr>
        <w:t>本报告披露的信息和数据来源于公司统计报告和正式文件，并通过相关部门审核。本公司承诺本报告不存在任何虛假记载或误导性陈述，并对内容真实性、准确性和完整性负责。</w:t>
      </w:r>
    </w:p>
    <w:p>
      <w:r>
        <w:br w:type="page"/>
      </w:r>
    </w:p>
    <w:p>
      <w:pPr>
        <w:pStyle w:val="Heading1"/>
      </w:pPr>
      <w:r>
        <w:rPr>
          <w:rFonts w:ascii="等线" w:hAnsi="等线" w:eastAsia="等线"/>
          <w:color w:val="000000"/>
          <w:sz w:val="44"/>
        </w:rPr>
        <w:t>高管致辞</w:t>
      </w:r>
    </w:p>
    <w:p>
      <w:pPr>
        <w:jc w:val="left"/>
      </w:pPr>
      <w:r>
        <w:rPr>
          <w:rFonts w:ascii="等线" w:hAnsi="等线" w:eastAsia="等线"/>
          <w:b w:val="0"/>
          <w:sz w:val="21"/>
        </w:rPr>
        <w:t>尊敬的各位利益相关者：</w:t>
      </w:r>
    </w:p>
    <w:p>
      <w:pPr>
        <w:jc w:val="left"/>
      </w:pPr>
      <w:r>
        <w:rPr>
          <w:rFonts w:ascii="等线" w:hAnsi="等线" w:eastAsia="等线"/>
          <w:b w:val="0"/>
          <w:sz w:val="21"/>
        </w:rPr>
        <w:t>在过去的一年里，我们</w:t>
      </w:r>
      <w:r>
        <w:rPr>
          <w:rFonts w:ascii="等线" w:hAnsi="等线" w:eastAsia="等线"/>
          <w:b w:val="0"/>
          <w:sz w:val="21"/>
          <w:highlight w:val="yellow"/>
        </w:rPr>
        <w:t>[银行名称]</w:t>
      </w:r>
      <w:r>
        <w:rPr>
          <w:rFonts w:ascii="等线" w:hAnsi="等线" w:eastAsia="等线"/>
          <w:b w:val="0"/>
          <w:sz w:val="21"/>
        </w:rPr>
        <w:t>积极践行ESG理念，在环境（E）、社会（S）和公司治理（G）三个维度取得了一系列显著成果，致力于为全球可持续发展贡献力量。</w:t>
      </w:r>
    </w:p>
    <w:p>
      <w:pPr>
        <w:jc w:val="left"/>
      </w:pPr>
      <w:r>
        <w:rPr>
          <w:rFonts w:ascii="等线" w:hAnsi="等线" w:eastAsia="等线"/>
          <w:b w:val="0"/>
          <w:sz w:val="21"/>
        </w:rPr>
        <w:t>一、环境（E）方面</w:t>
      </w:r>
    </w:p>
    <w:p>
      <w:pPr>
        <w:jc w:val="left"/>
      </w:pPr>
      <w:r>
        <w:rPr>
          <w:rFonts w:ascii="等线" w:hAnsi="等线" w:eastAsia="等线"/>
          <w:b w:val="0"/>
          <w:sz w:val="21"/>
        </w:rPr>
        <w:t>我们深知银行业在推动全球绿色转型中的关键角色。在应对气候变化方面，我们设定了明确的目标：到</w:t>
      </w:r>
      <w:r>
        <w:rPr>
          <w:rFonts w:ascii="等线" w:hAnsi="等线" w:eastAsia="等线"/>
          <w:b w:val="0"/>
          <w:sz w:val="21"/>
          <w:highlight w:val="yellow"/>
        </w:rPr>
        <w:t>[具体年份]</w:t>
      </w:r>
      <w:r>
        <w:rPr>
          <w:rFonts w:ascii="等线" w:hAnsi="等线" w:eastAsia="等线"/>
          <w:b w:val="0"/>
          <w:sz w:val="21"/>
        </w:rPr>
        <w:t>，将我们的融资组合中的绿色项目占比提高至</w:t>
      </w:r>
      <w:r>
        <w:rPr>
          <w:rFonts w:ascii="等线" w:hAnsi="等线" w:eastAsia="等线"/>
          <w:b w:val="0"/>
          <w:sz w:val="21"/>
          <w:highlight w:val="yellow"/>
        </w:rPr>
        <w:t>[X]</w:t>
      </w:r>
      <w:r>
        <w:rPr>
          <w:rFonts w:ascii="等线" w:hAnsi="等线" w:eastAsia="等线"/>
          <w:b w:val="0"/>
          <w:sz w:val="21"/>
        </w:rPr>
        <w:t>%。过去一年，我们已经成功将这一比例从</w:t>
      </w:r>
      <w:r>
        <w:rPr>
          <w:rFonts w:ascii="等线" w:hAnsi="等线" w:eastAsia="等线"/>
          <w:b w:val="0"/>
          <w:sz w:val="21"/>
          <w:highlight w:val="yellow"/>
        </w:rPr>
        <w:t>[X]</w:t>
      </w:r>
      <w:r>
        <w:rPr>
          <w:rFonts w:ascii="等线" w:hAnsi="等线" w:eastAsia="等线"/>
          <w:b w:val="0"/>
          <w:sz w:val="21"/>
        </w:rPr>
        <w:t>%提升到了</w:t>
      </w:r>
      <w:r>
        <w:rPr>
          <w:rFonts w:ascii="等线" w:hAnsi="等线" w:eastAsia="等线"/>
          <w:b w:val="0"/>
          <w:sz w:val="21"/>
          <w:highlight w:val="yellow"/>
        </w:rPr>
        <w:t>[X]</w:t>
      </w:r>
      <w:r>
        <w:rPr>
          <w:rFonts w:ascii="等线" w:hAnsi="等线" w:eastAsia="等线"/>
          <w:b w:val="0"/>
          <w:sz w:val="21"/>
        </w:rPr>
        <w:t>%，这意味着我们为更多的可再生能源项目、节能减排项目等提供了资金支持。例如，我们为</w:t>
      </w:r>
      <w:r>
        <w:rPr>
          <w:rFonts w:ascii="等线" w:hAnsi="等线" w:eastAsia="等线"/>
          <w:b w:val="0"/>
          <w:sz w:val="21"/>
          <w:highlight w:val="yellow"/>
        </w:rPr>
        <w:t>[具体数量]</w:t>
      </w:r>
      <w:r>
        <w:rPr>
          <w:rFonts w:ascii="等线" w:hAnsi="等线" w:eastAsia="等线"/>
          <w:b w:val="0"/>
          <w:sz w:val="21"/>
        </w:rPr>
        <w:t>个太阳能和风能发电项目提供了总计</w:t>
      </w:r>
      <w:r>
        <w:rPr>
          <w:rFonts w:ascii="等线" w:hAnsi="等线" w:eastAsia="等线"/>
          <w:b w:val="0"/>
          <w:sz w:val="21"/>
          <w:highlight w:val="yellow"/>
        </w:rPr>
        <w:t>[X]</w:t>
      </w:r>
      <w:r>
        <w:rPr>
          <w:rFonts w:ascii="等线" w:hAnsi="等线" w:eastAsia="等线"/>
          <w:b w:val="0"/>
          <w:sz w:val="21"/>
        </w:rPr>
        <w:t>亿美元的融资，这些项目预计每年可减少二氧化碳排放量达</w:t>
      </w:r>
      <w:r>
        <w:rPr>
          <w:rFonts w:ascii="等线" w:hAnsi="等线" w:eastAsia="等线"/>
          <w:b w:val="0"/>
          <w:sz w:val="21"/>
          <w:highlight w:val="yellow"/>
        </w:rPr>
        <w:t>[X]</w:t>
      </w:r>
      <w:r>
        <w:rPr>
          <w:rFonts w:ascii="等线" w:hAnsi="等线" w:eastAsia="等线"/>
          <w:b w:val="0"/>
          <w:sz w:val="21"/>
        </w:rPr>
        <w:t>吨。</w:t>
      </w:r>
    </w:p>
    <w:p>
      <w:pPr>
        <w:jc w:val="left"/>
      </w:pPr>
      <w:r>
        <w:rPr>
          <w:rFonts w:ascii="等线" w:hAnsi="等线" w:eastAsia="等线"/>
          <w:b w:val="0"/>
          <w:sz w:val="21"/>
        </w:rPr>
        <w:t>同时，我们积极推动自身运营的绿色化。我们的办公场所能耗较上一年度降低了</w:t>
      </w:r>
      <w:r>
        <w:rPr>
          <w:rFonts w:ascii="等线" w:hAnsi="等线" w:eastAsia="等线"/>
          <w:b w:val="0"/>
          <w:sz w:val="21"/>
          <w:highlight w:val="yellow"/>
        </w:rPr>
        <w:t>[X]</w:t>
      </w:r>
      <w:r>
        <w:rPr>
          <w:rFonts w:ascii="等线" w:hAnsi="等线" w:eastAsia="等线"/>
          <w:b w:val="0"/>
          <w:sz w:val="21"/>
        </w:rPr>
        <w:t>%，这得益于我们对节能设备的广泛应用以及员工节能意识的提升。我们还在</w:t>
      </w:r>
      <w:r>
        <w:rPr>
          <w:rFonts w:ascii="等线" w:hAnsi="等线" w:eastAsia="等线"/>
          <w:b w:val="0"/>
          <w:sz w:val="21"/>
          <w:highlight w:val="yellow"/>
        </w:rPr>
        <w:t>[具体数量]</w:t>
      </w:r>
      <w:r>
        <w:rPr>
          <w:rFonts w:ascii="等线" w:hAnsi="等线" w:eastAsia="等线"/>
          <w:b w:val="0"/>
          <w:sz w:val="21"/>
        </w:rPr>
        <w:t>家分行安装了太阳能板，其发电量能够满足分行日常运营</w:t>
      </w:r>
      <w:r>
        <w:rPr>
          <w:rFonts w:ascii="等线" w:hAnsi="等线" w:eastAsia="等线"/>
          <w:b w:val="0"/>
          <w:sz w:val="21"/>
          <w:highlight w:val="yellow"/>
        </w:rPr>
        <w:t>[X]</w:t>
      </w:r>
      <w:r>
        <w:rPr>
          <w:rFonts w:ascii="等线" w:hAnsi="等线" w:eastAsia="等线"/>
          <w:b w:val="0"/>
          <w:sz w:val="21"/>
        </w:rPr>
        <w:t>%的电力需求。</w:t>
      </w:r>
    </w:p>
    <w:p>
      <w:pPr>
        <w:jc w:val="left"/>
      </w:pPr>
      <w:r>
        <w:rPr>
          <w:rFonts w:ascii="等线" w:hAnsi="等线" w:eastAsia="等线"/>
          <w:b w:val="0"/>
          <w:sz w:val="21"/>
        </w:rPr>
        <w:t>二、社会（S）方面</w:t>
      </w:r>
    </w:p>
    <w:p>
      <w:pPr>
        <w:jc w:val="left"/>
      </w:pPr>
      <w:r>
        <w:rPr>
          <w:rFonts w:ascii="等线" w:hAnsi="等线" w:eastAsia="等线"/>
          <w:b w:val="0"/>
          <w:sz w:val="21"/>
        </w:rPr>
        <w:t>在金融普惠方面，我们致力于让更多人享受到金融服务的便利。去年，我们在新兴市场和发展中地区新增了</w:t>
      </w:r>
      <w:r>
        <w:rPr>
          <w:rFonts w:ascii="等线" w:hAnsi="等线" w:eastAsia="等线"/>
          <w:b w:val="0"/>
          <w:sz w:val="21"/>
          <w:highlight w:val="yellow"/>
        </w:rPr>
        <w:t>[X]</w:t>
      </w:r>
      <w:r>
        <w:rPr>
          <w:rFonts w:ascii="等线" w:hAnsi="等线" w:eastAsia="等线"/>
          <w:b w:val="0"/>
          <w:sz w:val="21"/>
        </w:rPr>
        <w:t>个服务网点，使得我们的服务覆盖人口增加了</w:t>
      </w:r>
      <w:r>
        <w:rPr>
          <w:rFonts w:ascii="等线" w:hAnsi="等线" w:eastAsia="等线"/>
          <w:b w:val="0"/>
          <w:sz w:val="21"/>
          <w:highlight w:val="yellow"/>
        </w:rPr>
        <w:t>[X]</w:t>
      </w:r>
      <w:r>
        <w:rPr>
          <w:rFonts w:ascii="等线" w:hAnsi="等线" w:eastAsia="等线"/>
          <w:b w:val="0"/>
          <w:sz w:val="21"/>
        </w:rPr>
        <w:t>万人。通过移动银行和在线金融服务，我们为偏远地区的</w:t>
      </w:r>
      <w:r>
        <w:rPr>
          <w:rFonts w:ascii="等线" w:hAnsi="等线" w:eastAsia="等线"/>
          <w:b w:val="0"/>
          <w:sz w:val="21"/>
          <w:highlight w:val="yellow"/>
        </w:rPr>
        <w:t>[X]</w:t>
      </w:r>
      <w:r>
        <w:rPr>
          <w:rFonts w:ascii="等线" w:hAnsi="等线" w:eastAsia="等线"/>
          <w:b w:val="0"/>
          <w:sz w:val="21"/>
        </w:rPr>
        <w:t>万客户提供了便捷的金融服务，其中</w:t>
      </w:r>
      <w:r>
        <w:rPr>
          <w:rFonts w:ascii="等线" w:hAnsi="等线" w:eastAsia="等线"/>
          <w:b w:val="0"/>
          <w:sz w:val="21"/>
          <w:highlight w:val="yellow"/>
        </w:rPr>
        <w:t>[X]</w:t>
      </w:r>
      <w:r>
        <w:rPr>
          <w:rFonts w:ascii="等线" w:hAnsi="等线" w:eastAsia="等线"/>
          <w:b w:val="0"/>
          <w:sz w:val="21"/>
        </w:rPr>
        <w:t>%为首次使用银行服务的客户。</w:t>
      </w:r>
    </w:p>
    <w:p>
      <w:pPr>
        <w:jc w:val="left"/>
      </w:pPr>
      <w:r>
        <w:rPr>
          <w:rFonts w:ascii="等线" w:hAnsi="等线" w:eastAsia="等线"/>
          <w:b w:val="0"/>
          <w:sz w:val="21"/>
        </w:rPr>
        <w:t>在社区发展方面，我们积极履行社会责任。我们投入</w:t>
      </w:r>
      <w:r>
        <w:rPr>
          <w:rFonts w:ascii="等线" w:hAnsi="等线" w:eastAsia="等线"/>
          <w:b w:val="0"/>
          <w:sz w:val="21"/>
          <w:highlight w:val="yellow"/>
        </w:rPr>
        <w:t>[X]</w:t>
      </w:r>
      <w:r>
        <w:rPr>
          <w:rFonts w:ascii="等线" w:hAnsi="等线" w:eastAsia="等线"/>
          <w:b w:val="0"/>
          <w:sz w:val="21"/>
        </w:rPr>
        <w:t>万美元用于社区教育项目，为</w:t>
      </w:r>
      <w:r>
        <w:rPr>
          <w:rFonts w:ascii="等线" w:hAnsi="等线" w:eastAsia="等线"/>
          <w:b w:val="0"/>
          <w:sz w:val="21"/>
          <w:highlight w:val="yellow"/>
        </w:rPr>
        <w:t>[X]</w:t>
      </w:r>
      <w:r>
        <w:rPr>
          <w:rFonts w:ascii="等线" w:hAnsi="等线" w:eastAsia="等线"/>
          <w:b w:val="0"/>
          <w:sz w:val="21"/>
        </w:rPr>
        <w:t>名贫困地区的学生提供了奖学金和教育资源支持。此外，我们还组织员工开展了</w:t>
      </w:r>
      <w:r>
        <w:rPr>
          <w:rFonts w:ascii="等线" w:hAnsi="等线" w:eastAsia="等线"/>
          <w:b w:val="0"/>
          <w:sz w:val="21"/>
          <w:highlight w:val="yellow"/>
        </w:rPr>
        <w:t>[X]</w:t>
      </w:r>
      <w:r>
        <w:rPr>
          <w:rFonts w:ascii="等线" w:hAnsi="等线" w:eastAsia="等线"/>
          <w:b w:val="0"/>
          <w:sz w:val="21"/>
        </w:rPr>
        <w:t>次志愿者活动，累计志愿服务时长达到</w:t>
      </w:r>
      <w:r>
        <w:rPr>
          <w:rFonts w:ascii="等线" w:hAnsi="等线" w:eastAsia="等线"/>
          <w:b w:val="0"/>
          <w:sz w:val="21"/>
          <w:highlight w:val="yellow"/>
        </w:rPr>
        <w:t>[X]</w:t>
      </w:r>
      <w:r>
        <w:rPr>
          <w:rFonts w:ascii="等线" w:hAnsi="等线" w:eastAsia="等线"/>
          <w:b w:val="0"/>
          <w:sz w:val="21"/>
        </w:rPr>
        <w:t>小时，涵盖了环境保护、关爱弱势群体等多个领域。</w:t>
      </w:r>
    </w:p>
    <w:p>
      <w:pPr>
        <w:jc w:val="left"/>
      </w:pPr>
      <w:r>
        <w:rPr>
          <w:rFonts w:ascii="等线" w:hAnsi="等线" w:eastAsia="等线"/>
          <w:b w:val="0"/>
          <w:sz w:val="21"/>
        </w:rPr>
        <w:t>三、公司治理（G）方面</w:t>
      </w:r>
    </w:p>
    <w:p>
      <w:pPr>
        <w:jc w:val="left"/>
      </w:pPr>
      <w:r>
        <w:rPr>
          <w:rFonts w:ascii="等线" w:hAnsi="等线" w:eastAsia="等线"/>
          <w:b w:val="0"/>
          <w:sz w:val="21"/>
        </w:rPr>
        <w:t>我们始终坚持高标准的公司治理原则。在董事会构成方面，女性董事的比例达到了</w:t>
      </w:r>
      <w:r>
        <w:rPr>
          <w:rFonts w:ascii="等线" w:hAnsi="等线" w:eastAsia="等线"/>
          <w:b w:val="0"/>
          <w:sz w:val="21"/>
          <w:highlight w:val="yellow"/>
        </w:rPr>
        <w:t>[X]</w:t>
      </w:r>
      <w:r>
        <w:rPr>
          <w:rFonts w:ascii="等线" w:hAnsi="等线" w:eastAsia="等线"/>
          <w:b w:val="0"/>
          <w:sz w:val="21"/>
        </w:rPr>
        <w:t>%，独立董事比例为</w:t>
      </w:r>
      <w:r>
        <w:rPr>
          <w:rFonts w:ascii="等线" w:hAnsi="等线" w:eastAsia="等线"/>
          <w:b w:val="0"/>
          <w:sz w:val="21"/>
          <w:highlight w:val="yellow"/>
        </w:rPr>
        <w:t>[X]</w:t>
      </w:r>
      <w:r>
        <w:rPr>
          <w:rFonts w:ascii="等线" w:hAnsi="等线" w:eastAsia="等线"/>
          <w:b w:val="0"/>
          <w:sz w:val="21"/>
        </w:rPr>
        <w:t>%，确保了决策的多元化和独立性。我们建立了完善的风险管理体系，不良贷款率从</w:t>
      </w:r>
      <w:r>
        <w:rPr>
          <w:rFonts w:ascii="等线" w:hAnsi="等线" w:eastAsia="等线"/>
          <w:b w:val="0"/>
          <w:sz w:val="21"/>
          <w:highlight w:val="yellow"/>
        </w:rPr>
        <w:t>[X]</w:t>
      </w:r>
      <w:r>
        <w:rPr>
          <w:rFonts w:ascii="等线" w:hAnsi="等线" w:eastAsia="等线"/>
          <w:b w:val="0"/>
          <w:sz w:val="21"/>
        </w:rPr>
        <w:t>%下降至</w:t>
      </w:r>
      <w:r>
        <w:rPr>
          <w:rFonts w:ascii="等线" w:hAnsi="等线" w:eastAsia="等线"/>
          <w:b w:val="0"/>
          <w:sz w:val="21"/>
          <w:highlight w:val="yellow"/>
        </w:rPr>
        <w:t>[X]</w:t>
      </w:r>
      <w:r>
        <w:rPr>
          <w:rFonts w:ascii="等线" w:hAnsi="等线" w:eastAsia="等线"/>
          <w:b w:val="0"/>
          <w:sz w:val="21"/>
        </w:rPr>
        <w:t>%，显示出我们在风险管控方面的卓越能力。</w:t>
      </w:r>
    </w:p>
    <w:p>
      <w:pPr>
        <w:jc w:val="left"/>
      </w:pPr>
      <w:r>
        <w:rPr>
          <w:rFonts w:ascii="等线" w:hAnsi="等线" w:eastAsia="等线"/>
          <w:b w:val="0"/>
          <w:sz w:val="21"/>
        </w:rPr>
        <w:t>在员工发展方面，我们为员工提供了丰富的培训机会。去年，每位员工平均接受培训时长达到</w:t>
      </w:r>
      <w:r>
        <w:rPr>
          <w:rFonts w:ascii="等线" w:hAnsi="等线" w:eastAsia="等线"/>
          <w:b w:val="0"/>
          <w:sz w:val="21"/>
          <w:highlight w:val="yellow"/>
        </w:rPr>
        <w:t>[X]</w:t>
      </w:r>
      <w:r>
        <w:rPr>
          <w:rFonts w:ascii="等线" w:hAnsi="等线" w:eastAsia="等线"/>
          <w:b w:val="0"/>
          <w:sz w:val="21"/>
        </w:rPr>
        <w:t>小时，培训内容涵盖金融专业知识、ESG理念等多个方面。我们还注重员工的职业晋升公平性，内部晋升员工比例达到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展望未来，我们将继续坚定不移地推进ESG战略。在环境方面，我们将加大对绿色技术研发的资金支持力度，计划未来三年内为相关项目提供不少于</w:t>
      </w:r>
      <w:r>
        <w:rPr>
          <w:rFonts w:ascii="等线" w:hAnsi="等线" w:eastAsia="等线"/>
          <w:b w:val="0"/>
          <w:sz w:val="21"/>
          <w:highlight w:val="yellow"/>
        </w:rPr>
        <w:t>[X]</w:t>
      </w:r>
      <w:r>
        <w:rPr>
          <w:rFonts w:ascii="等线" w:hAnsi="等线" w:eastAsia="等线"/>
          <w:b w:val="0"/>
          <w:sz w:val="21"/>
        </w:rPr>
        <w:t>亿美元的融资。在社会方面，我们将进一步拓展金融普惠的深度和广度，目标是将服务覆盖人口再增加</w:t>
      </w:r>
      <w:r>
        <w:rPr>
          <w:rFonts w:ascii="等线" w:hAnsi="等线" w:eastAsia="等线"/>
          <w:b w:val="0"/>
          <w:sz w:val="21"/>
          <w:highlight w:val="yellow"/>
        </w:rPr>
        <w:t>[X]</w:t>
      </w:r>
      <w:r>
        <w:rPr>
          <w:rFonts w:ascii="等线" w:hAnsi="等线" w:eastAsia="等线"/>
          <w:b w:val="0"/>
          <w:sz w:val="21"/>
        </w:rPr>
        <w:t>万人。在公司治理方面，我们将持续优化治理结构，提高信息透明度，加强与利益相关者的沟通与合作。</w:t>
      </w:r>
    </w:p>
    <w:p>
      <w:pPr>
        <w:jc w:val="left"/>
      </w:pPr>
      <w:r>
        <w:rPr>
          <w:rFonts w:ascii="等线" w:hAnsi="等线" w:eastAsia="等线"/>
          <w:b w:val="0"/>
          <w:sz w:val="21"/>
        </w:rPr>
        <w:t>我们相信，通过积极践行ESG理念，我们不仅能够实现自身的可持续发展，还能够为全球经济、社会和环境的可持续发展做出更大的贡献。</w:t>
      </w:r>
    </w:p>
    <w:p>
      <w:pPr>
        <w:jc w:val="left"/>
      </w:pPr>
      <w:r>
        <w:rPr>
          <w:rFonts w:ascii="等线" w:hAnsi="等线" w:eastAsia="等线"/>
          <w:b w:val="0"/>
          <w:sz w:val="21"/>
        </w:rPr>
        <w:t>感谢各位利益相关者一直以来对我们的支持与信任。</w:t>
      </w:r>
    </w:p>
    <w:p>
      <w:pPr>
        <w:jc w:val="left"/>
      </w:pPr>
      <w:r>
        <w:rPr>
          <w:rFonts w:ascii="等线" w:hAnsi="等线" w:eastAsia="等线"/>
          <w:b w:val="0"/>
          <w:sz w:val="21"/>
        </w:rPr>
      </w:r>
      <w:r>
        <w:rPr>
          <w:rFonts w:ascii="等线" w:hAnsi="等线" w:eastAsia="等线"/>
          <w:b w:val="0"/>
          <w:sz w:val="21"/>
          <w:highlight w:val="yellow"/>
        </w:rPr>
        <w:t>[高管姓名]</w:t>
      </w:r>
      <w:r>
        <w:rPr>
          <w:rFonts w:ascii="等线" w:hAnsi="等线" w:eastAsia="等线"/>
          <w:b w:val="0"/>
          <w:sz w:val="21"/>
        </w:rPr>
      </w:r>
    </w:p>
    <w:p>
      <w:pPr>
        <w:jc w:val="left"/>
      </w:pPr>
      <w:r>
        <w:rPr>
          <w:rFonts w:ascii="等线" w:hAnsi="等线" w:eastAsia="等线"/>
          <w:b w:val="0"/>
          <w:sz w:val="21"/>
        </w:rPr>
      </w:r>
      <w:r>
        <w:rPr>
          <w:rFonts w:ascii="等线" w:hAnsi="等线" w:eastAsia="等线"/>
          <w:b w:val="0"/>
          <w:sz w:val="21"/>
          <w:highlight w:val="yellow"/>
        </w:rPr>
        <w:t>[具体日期]</w:t>
      </w:r>
      <w:r>
        <w:rPr>
          <w:rFonts w:ascii="等线" w:hAnsi="等线" w:eastAsia="等线"/>
          <w:b w:val="0"/>
          <w:sz w:val="21"/>
        </w:rPr>
      </w:r>
    </w:p>
    <w:p>
      <w:r>
        <w:br w:type="page"/>
      </w:r>
    </w:p>
    <w:p>
      <w:pPr>
        <w:pStyle w:val="Heading1"/>
      </w:pPr>
      <w:r>
        <w:rPr>
          <w:rFonts w:ascii="等线" w:hAnsi="等线" w:eastAsia="等线"/>
          <w:color w:val="000000"/>
          <w:sz w:val="44"/>
        </w:rPr>
        <w:t>公司概况</w:t>
      </w:r>
    </w:p>
    <w:p>
      <w:pPr>
        <w:jc w:val="left"/>
      </w:pPr>
      <w:r>
        <w:rPr>
          <w:rFonts w:ascii="等线" w:hAnsi="等线" w:eastAsia="等线"/>
          <w:b w:val="0"/>
          <w:sz w:val="21"/>
        </w:rPr>
        <w:t>以下是一个面向国际市场的大型国有银行业企业ESG报告中公司概况的内容模板：</w:t>
      </w:r>
    </w:p>
    <w:p>
      <w:pPr>
        <w:jc w:val="left"/>
      </w:pPr>
      <w:r>
        <w:rPr>
          <w:rFonts w:ascii="等线" w:hAnsi="等线" w:eastAsia="等线"/>
          <w:b w:val="0"/>
          <w:sz w:val="21"/>
        </w:rPr>
        <w:t>一、企业基本信息</w:t>
      </w:r>
    </w:p>
    <w:p>
      <w:pPr>
        <w:jc w:val="left"/>
      </w:pPr>
      <w:r>
        <w:rPr>
          <w:rFonts w:ascii="等线" w:hAnsi="等线" w:eastAsia="等线"/>
          <w:b w:val="0"/>
          <w:sz w:val="21"/>
        </w:rPr>
        <w:t>本银行是一家大型国有银行业企业，总部位于</w:t>
      </w:r>
      <w:r>
        <w:rPr>
          <w:rFonts w:ascii="等线" w:hAnsi="等线" w:eastAsia="等线"/>
          <w:b w:val="0"/>
          <w:sz w:val="21"/>
          <w:highlight w:val="yellow"/>
        </w:rPr>
        <w:t>[具体地点]</w:t>
      </w:r>
      <w:r>
        <w:rPr>
          <w:rFonts w:ascii="等线" w:hAnsi="等线" w:eastAsia="等线"/>
          <w:b w:val="0"/>
          <w:sz w:val="21"/>
        </w:rPr>
        <w:t>。自</w:t>
      </w:r>
      <w:r>
        <w:rPr>
          <w:rFonts w:ascii="等线" w:hAnsi="等线" w:eastAsia="等线"/>
          <w:b w:val="0"/>
          <w:sz w:val="21"/>
          <w:highlight w:val="yellow"/>
        </w:rPr>
        <w:t>[成立年份]</w:t>
      </w:r>
      <w:r>
        <w:rPr>
          <w:rFonts w:ascii="等线" w:hAnsi="等线" w:eastAsia="等线"/>
          <w:b w:val="0"/>
          <w:sz w:val="21"/>
        </w:rPr>
        <w:t>成立以来，一直致力于为国内外客户提供全面的金融服务。目前，本银行在全球拥有超过</w:t>
      </w:r>
      <w:r>
        <w:rPr>
          <w:rFonts w:ascii="等线" w:hAnsi="等线" w:eastAsia="等线"/>
          <w:b w:val="0"/>
          <w:sz w:val="21"/>
          <w:highlight w:val="yellow"/>
        </w:rPr>
        <w:t>[X]</w:t>
      </w:r>
      <w:r>
        <w:rPr>
          <w:rFonts w:ascii="等线" w:hAnsi="等线" w:eastAsia="等线"/>
          <w:b w:val="0"/>
          <w:sz w:val="21"/>
        </w:rPr>
        <w:t>家分支机构，业务覆盖</w:t>
      </w:r>
      <w:r>
        <w:rPr>
          <w:rFonts w:ascii="等线" w:hAnsi="等线" w:eastAsia="等线"/>
          <w:b w:val="0"/>
          <w:sz w:val="21"/>
          <w:highlight w:val="yellow"/>
        </w:rPr>
        <w:t>[X]</w:t>
      </w:r>
      <w:r>
        <w:rPr>
          <w:rFonts w:ascii="等线" w:hAnsi="等线" w:eastAsia="等线"/>
          <w:b w:val="0"/>
          <w:sz w:val="21"/>
        </w:rPr>
        <w:t>个国家和地区，员工总数达到</w:t>
      </w:r>
      <w:r>
        <w:rPr>
          <w:rFonts w:ascii="等线" w:hAnsi="等线" w:eastAsia="等线"/>
          <w:b w:val="0"/>
          <w:sz w:val="21"/>
          <w:highlight w:val="yellow"/>
        </w:rPr>
        <w:t>[X]</w:t>
      </w:r>
      <w:r>
        <w:rPr>
          <w:rFonts w:ascii="等线" w:hAnsi="等线" w:eastAsia="等线"/>
          <w:b w:val="0"/>
          <w:sz w:val="21"/>
        </w:rPr>
        <w:t>人。</w:t>
      </w:r>
    </w:p>
    <w:p>
      <w:pPr>
        <w:jc w:val="left"/>
      </w:pPr>
      <w:r>
        <w:rPr>
          <w:rFonts w:ascii="等线" w:hAnsi="等线" w:eastAsia="等线"/>
          <w:b w:val="0"/>
          <w:sz w:val="21"/>
        </w:rPr>
        <w:t>二、业务范围</w:t>
      </w:r>
    </w:p>
    <w:p>
      <w:pPr>
        <w:jc w:val="left"/>
      </w:pPr>
      <w:r>
        <w:rPr>
          <w:rFonts w:ascii="等线" w:hAnsi="等线" w:eastAsia="等线"/>
          <w:b w:val="0"/>
          <w:sz w:val="21"/>
        </w:rPr>
        <w:t>1. 传统银行业务</w:t>
      </w:r>
    </w:p>
    <w:p>
      <w:pPr>
        <w:jc w:val="left"/>
      </w:pPr>
      <w:r>
        <w:rPr>
          <w:rFonts w:ascii="等线" w:hAnsi="等线" w:eastAsia="等线"/>
          <w:b w:val="0"/>
          <w:sz w:val="21"/>
        </w:rPr>
        <w:t>2. 存款业务方面，截至</w:t>
      </w:r>
      <w:r>
        <w:rPr>
          <w:rFonts w:ascii="等线" w:hAnsi="等线" w:eastAsia="等线"/>
          <w:b w:val="0"/>
          <w:sz w:val="21"/>
          <w:highlight w:val="yellow"/>
        </w:rPr>
        <w:t>[报告期末]</w:t>
      </w:r>
      <w:r>
        <w:rPr>
          <w:rFonts w:ascii="等线" w:hAnsi="等线" w:eastAsia="等线"/>
          <w:b w:val="0"/>
          <w:sz w:val="21"/>
        </w:rPr>
        <w:t>，本银行吸收的各类存款余额达到</w:t>
      </w:r>
      <w:r>
        <w:rPr>
          <w:rFonts w:ascii="等线" w:hAnsi="等线" w:eastAsia="等线"/>
          <w:b w:val="0"/>
          <w:sz w:val="21"/>
          <w:highlight w:val="yellow"/>
        </w:rPr>
        <w:t>[X]</w:t>
      </w:r>
      <w:r>
        <w:rPr>
          <w:rFonts w:ascii="等线" w:hAnsi="等线" w:eastAsia="等线"/>
          <w:b w:val="0"/>
          <w:sz w:val="21"/>
        </w:rPr>
        <w:t>美元。其中，个人存款余额为</w:t>
      </w:r>
      <w:r>
        <w:rPr>
          <w:rFonts w:ascii="等线" w:hAnsi="等线" w:eastAsia="等线"/>
          <w:b w:val="0"/>
          <w:sz w:val="21"/>
          <w:highlight w:val="yellow"/>
        </w:rPr>
        <w:t>[X]</w:t>
      </w:r>
      <w:r>
        <w:rPr>
          <w:rFonts w:ascii="等线" w:hAnsi="等线" w:eastAsia="等线"/>
          <w:b w:val="0"/>
          <w:sz w:val="21"/>
        </w:rPr>
        <w:t>美元，占总存款的</w:t>
      </w:r>
      <w:r>
        <w:rPr>
          <w:rFonts w:ascii="等线" w:hAnsi="等线" w:eastAsia="等线"/>
          <w:b w:val="0"/>
          <w:sz w:val="21"/>
          <w:highlight w:val="yellow"/>
        </w:rPr>
        <w:t>[X]</w:t>
      </w:r>
      <w:r>
        <w:rPr>
          <w:rFonts w:ascii="等线" w:hAnsi="等线" w:eastAsia="等线"/>
          <w:b w:val="0"/>
          <w:sz w:val="21"/>
        </w:rPr>
        <w:t>%；企业存款余额为</w:t>
      </w:r>
      <w:r>
        <w:rPr>
          <w:rFonts w:ascii="等线" w:hAnsi="等线" w:eastAsia="等线"/>
          <w:b w:val="0"/>
          <w:sz w:val="21"/>
          <w:highlight w:val="yellow"/>
        </w:rPr>
        <w:t>[X]</w:t>
      </w:r>
      <w:r>
        <w:rPr>
          <w:rFonts w:ascii="等线" w:hAnsi="等线" w:eastAsia="等线"/>
          <w:b w:val="0"/>
          <w:sz w:val="21"/>
        </w:rPr>
        <w:t>美元。</w:t>
      </w:r>
    </w:p>
    <w:p>
      <w:pPr>
        <w:jc w:val="left"/>
      </w:pPr>
      <w:r>
        <w:rPr>
          <w:rFonts w:ascii="等线" w:hAnsi="等线" w:eastAsia="等线"/>
          <w:b w:val="0"/>
          <w:sz w:val="21"/>
        </w:rPr>
        <w:t>3. 贷款业务是本银行的核心业务之一。本银行向各类客户提供广泛的贷款服务，包括但不限于企业贷款、个人住房贷款、消费贷款等。截至报告期末，贷款余额总计</w:t>
      </w:r>
      <w:r>
        <w:rPr>
          <w:rFonts w:ascii="等线" w:hAnsi="等线" w:eastAsia="等线"/>
          <w:b w:val="0"/>
          <w:sz w:val="21"/>
          <w:highlight w:val="yellow"/>
        </w:rPr>
        <w:t>[X]</w:t>
      </w:r>
      <w:r>
        <w:rPr>
          <w:rFonts w:ascii="等线" w:hAnsi="等线" w:eastAsia="等线"/>
          <w:b w:val="0"/>
          <w:sz w:val="21"/>
        </w:rPr>
        <w:t>美元。其中，对中小企业的贷款余额为</w:t>
      </w:r>
      <w:r>
        <w:rPr>
          <w:rFonts w:ascii="等线" w:hAnsi="等线" w:eastAsia="等线"/>
          <w:b w:val="0"/>
          <w:sz w:val="21"/>
          <w:highlight w:val="yellow"/>
        </w:rPr>
        <w:t>[X]</w:t>
      </w:r>
      <w:r>
        <w:rPr>
          <w:rFonts w:ascii="等线" w:hAnsi="等线" w:eastAsia="等线"/>
          <w:b w:val="0"/>
          <w:sz w:val="21"/>
        </w:rPr>
        <w:t>美元，占总贷款余额的</w:t>
      </w:r>
      <w:r>
        <w:rPr>
          <w:rFonts w:ascii="等线" w:hAnsi="等线" w:eastAsia="等线"/>
          <w:b w:val="0"/>
          <w:sz w:val="21"/>
          <w:highlight w:val="yellow"/>
        </w:rPr>
        <w:t>[X]</w:t>
      </w:r>
      <w:r>
        <w:rPr>
          <w:rFonts w:ascii="等线" w:hAnsi="等线" w:eastAsia="等线"/>
          <w:b w:val="0"/>
          <w:sz w:val="21"/>
        </w:rPr>
        <w:t>%，这体现了本银行对支持中小企业发展的重视。</w:t>
      </w:r>
    </w:p>
    <w:p>
      <w:pPr>
        <w:jc w:val="left"/>
      </w:pPr>
      <w:r>
        <w:rPr>
          <w:rFonts w:ascii="等线" w:hAnsi="等线" w:eastAsia="等线"/>
          <w:b w:val="0"/>
          <w:sz w:val="21"/>
        </w:rPr>
        <w:t>4. 金融市场业务</w:t>
      </w:r>
    </w:p>
    <w:p>
      <w:pPr>
        <w:jc w:val="left"/>
      </w:pPr>
      <w:r>
        <w:rPr>
          <w:rFonts w:ascii="等线" w:hAnsi="等线" w:eastAsia="等线"/>
          <w:b w:val="0"/>
          <w:sz w:val="21"/>
        </w:rPr>
        <w:t>5. 在外汇交易方面，本银行是全球外汇市场的重要参与者。平均每日外汇交易量达到</w:t>
      </w:r>
      <w:r>
        <w:rPr>
          <w:rFonts w:ascii="等线" w:hAnsi="等线" w:eastAsia="等线"/>
          <w:b w:val="0"/>
          <w:sz w:val="21"/>
          <w:highlight w:val="yellow"/>
        </w:rPr>
        <w:t>[X]</w:t>
      </w:r>
      <w:r>
        <w:rPr>
          <w:rFonts w:ascii="等线" w:hAnsi="等线" w:eastAsia="等线"/>
          <w:b w:val="0"/>
          <w:sz w:val="21"/>
        </w:rPr>
        <w:t>亿美元，在国际外汇市场中占据</w:t>
      </w:r>
      <w:r>
        <w:rPr>
          <w:rFonts w:ascii="等线" w:hAnsi="等线" w:eastAsia="等线"/>
          <w:b w:val="0"/>
          <w:sz w:val="21"/>
          <w:highlight w:val="yellow"/>
        </w:rPr>
        <w:t>[X]</w:t>
      </w:r>
      <w:r>
        <w:rPr>
          <w:rFonts w:ascii="等线" w:hAnsi="等线" w:eastAsia="等线"/>
          <w:b w:val="0"/>
          <w:sz w:val="21"/>
        </w:rPr>
        <w:t>%的份额。</w:t>
      </w:r>
    </w:p>
    <w:p>
      <w:pPr>
        <w:jc w:val="left"/>
      </w:pPr>
      <w:r>
        <w:rPr>
          <w:rFonts w:ascii="等线" w:hAnsi="等线" w:eastAsia="等线"/>
          <w:b w:val="0"/>
          <w:sz w:val="21"/>
        </w:rPr>
        <w:t>6. 债券投资业务也在本银行的业务组合中占有重要地位。截至</w:t>
      </w:r>
      <w:r>
        <w:rPr>
          <w:rFonts w:ascii="等线" w:hAnsi="等线" w:eastAsia="等线"/>
          <w:b w:val="0"/>
          <w:sz w:val="21"/>
          <w:highlight w:val="yellow"/>
        </w:rPr>
        <w:t>[报告期末]</w:t>
      </w:r>
      <w:r>
        <w:rPr>
          <w:rFonts w:ascii="等线" w:hAnsi="等线" w:eastAsia="等线"/>
          <w:b w:val="0"/>
          <w:sz w:val="21"/>
        </w:rPr>
        <w:t>，本银行持有的债券资产价值为</w:t>
      </w:r>
      <w:r>
        <w:rPr>
          <w:rFonts w:ascii="等线" w:hAnsi="等线" w:eastAsia="等线"/>
          <w:b w:val="0"/>
          <w:sz w:val="21"/>
          <w:highlight w:val="yellow"/>
        </w:rPr>
        <w:t>[X]</w:t>
      </w:r>
      <w:r>
        <w:rPr>
          <w:rFonts w:ascii="等线" w:hAnsi="等线" w:eastAsia="等线"/>
          <w:b w:val="0"/>
          <w:sz w:val="21"/>
        </w:rPr>
        <w:t>美元，涵盖国债、企业债等多种债券类型。</w:t>
      </w:r>
    </w:p>
    <w:p>
      <w:pPr>
        <w:jc w:val="left"/>
      </w:pPr>
      <w:r>
        <w:rPr>
          <w:rFonts w:ascii="等线" w:hAnsi="等线" w:eastAsia="等线"/>
          <w:b w:val="0"/>
          <w:sz w:val="21"/>
        </w:rPr>
        <w:t>三、市场地位与竞争力</w:t>
      </w:r>
    </w:p>
    <w:p>
      <w:pPr>
        <w:jc w:val="left"/>
      </w:pPr>
      <w:r>
        <w:rPr>
          <w:rFonts w:ascii="等线" w:hAnsi="等线" w:eastAsia="等线"/>
          <w:b w:val="0"/>
          <w:sz w:val="21"/>
        </w:rPr>
        <w:t>1. 资产规模</w:t>
      </w:r>
    </w:p>
    <w:p>
      <w:pPr>
        <w:jc w:val="left"/>
      </w:pPr>
      <w:r>
        <w:rPr>
          <w:rFonts w:ascii="等线" w:hAnsi="等线" w:eastAsia="等线"/>
          <w:b w:val="0"/>
          <w:sz w:val="21"/>
        </w:rPr>
        <w:t>2. 本银行的总资产规模在全球银行业中名列前茅。截至</w:t>
      </w:r>
      <w:r>
        <w:rPr>
          <w:rFonts w:ascii="等线" w:hAnsi="等线" w:eastAsia="等线"/>
          <w:b w:val="0"/>
          <w:sz w:val="21"/>
          <w:highlight w:val="yellow"/>
        </w:rPr>
        <w:t>[报告期末]</w:t>
      </w:r>
      <w:r>
        <w:rPr>
          <w:rFonts w:ascii="等线" w:hAnsi="等线" w:eastAsia="等线"/>
          <w:b w:val="0"/>
          <w:sz w:val="21"/>
        </w:rPr>
        <w:t>，总资产达到</w:t>
      </w:r>
      <w:r>
        <w:rPr>
          <w:rFonts w:ascii="等线" w:hAnsi="等线" w:eastAsia="等线"/>
          <w:b w:val="0"/>
          <w:sz w:val="21"/>
          <w:highlight w:val="yellow"/>
        </w:rPr>
        <w:t>[X]</w:t>
      </w:r>
      <w:r>
        <w:rPr>
          <w:rFonts w:ascii="等线" w:hAnsi="等线" w:eastAsia="等线"/>
          <w:b w:val="0"/>
          <w:sz w:val="21"/>
        </w:rPr>
        <w:t>美元，较上一年度增长了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信用评级</w:t>
      </w:r>
    </w:p>
    <w:p>
      <w:pPr>
        <w:jc w:val="left"/>
      </w:pPr>
      <w:r>
        <w:rPr>
          <w:rFonts w:ascii="等线" w:hAnsi="等线" w:eastAsia="等线"/>
          <w:b w:val="0"/>
          <w:sz w:val="21"/>
        </w:rPr>
        <w:t>4. 本银行在国际信用评级机构中保持着较高的信用评级。例如，标准普尔给予本银行的长期信用评级为</w:t>
      </w:r>
      <w:r>
        <w:rPr>
          <w:rFonts w:ascii="等线" w:hAnsi="等线" w:eastAsia="等线"/>
          <w:b w:val="0"/>
          <w:sz w:val="21"/>
          <w:highlight w:val="yellow"/>
        </w:rPr>
        <w:t>[具体评级]</w:t>
      </w:r>
      <w:r>
        <w:rPr>
          <w:rFonts w:ascii="等线" w:hAnsi="等线" w:eastAsia="等线"/>
          <w:b w:val="0"/>
          <w:sz w:val="21"/>
        </w:rPr>
        <w:t>，穆迪给予的评级为</w:t>
      </w:r>
      <w:r>
        <w:rPr>
          <w:rFonts w:ascii="等线" w:hAnsi="等线" w:eastAsia="等线"/>
          <w:b w:val="0"/>
          <w:sz w:val="21"/>
          <w:highlight w:val="yellow"/>
        </w:rPr>
        <w:t>[具体评级]</w:t>
      </w:r>
      <w:r>
        <w:rPr>
          <w:rFonts w:ascii="等线" w:hAnsi="等线" w:eastAsia="等线"/>
          <w:b w:val="0"/>
          <w:sz w:val="21"/>
        </w:rPr>
        <w:t>，这反映了本银行稳健的财务状况和良好的偿债能力。</w:t>
      </w:r>
    </w:p>
    <w:p>
      <w:pPr>
        <w:jc w:val="left"/>
      </w:pPr>
      <w:r>
        <w:rPr>
          <w:rFonts w:ascii="等线" w:hAnsi="等线" w:eastAsia="等线"/>
          <w:b w:val="0"/>
          <w:sz w:val="21"/>
        </w:rPr>
        <w:t>5. 技术创新与数字化转型</w:t>
      </w:r>
    </w:p>
    <w:p>
      <w:pPr>
        <w:jc w:val="left"/>
      </w:pPr>
      <w:r>
        <w:rPr>
          <w:rFonts w:ascii="等线" w:hAnsi="等线" w:eastAsia="等线"/>
          <w:b w:val="0"/>
          <w:sz w:val="21"/>
        </w:rPr>
        <w:t>6. 在数字化时代，本银行积极投入资源进行技术创新。目前，本银行的网上银行和手机银行用户数量分别达到</w:t>
      </w:r>
      <w:r>
        <w:rPr>
          <w:rFonts w:ascii="等线" w:hAnsi="等线" w:eastAsia="等线"/>
          <w:b w:val="0"/>
          <w:sz w:val="21"/>
          <w:highlight w:val="yellow"/>
        </w:rPr>
        <w:t>[X]</w:t>
      </w:r>
      <w:r>
        <w:rPr>
          <w:rFonts w:ascii="等线" w:hAnsi="等线" w:eastAsia="等线"/>
          <w:b w:val="0"/>
          <w:sz w:val="21"/>
        </w:rPr>
        <w:t>人和</w:t>
      </w:r>
      <w:r>
        <w:rPr>
          <w:rFonts w:ascii="等线" w:hAnsi="等线" w:eastAsia="等线"/>
          <w:b w:val="0"/>
          <w:sz w:val="21"/>
          <w:highlight w:val="yellow"/>
        </w:rPr>
        <w:t>[X]</w:t>
      </w:r>
      <w:r>
        <w:rPr>
          <w:rFonts w:ascii="等线" w:hAnsi="等线" w:eastAsia="等线"/>
          <w:b w:val="0"/>
          <w:sz w:val="21"/>
        </w:rPr>
        <w:t>人。通过数字化渠道办理的业务量占总业务量的比例已经上升至</w:t>
      </w:r>
      <w:r>
        <w:rPr>
          <w:rFonts w:ascii="等线" w:hAnsi="等线" w:eastAsia="等线"/>
          <w:b w:val="0"/>
          <w:sz w:val="21"/>
          <w:highlight w:val="yellow"/>
        </w:rPr>
        <w:t>[X]</w:t>
      </w:r>
      <w:r>
        <w:rPr>
          <w:rFonts w:ascii="等线" w:hAnsi="等线" w:eastAsia="等线"/>
          <w:b w:val="0"/>
          <w:sz w:val="21"/>
        </w:rPr>
        <w:t>%，这不仅提高了客户服务效率，也降低了运营成本。</w:t>
      </w:r>
    </w:p>
    <w:p>
      <w:pPr>
        <w:jc w:val="left"/>
      </w:pPr>
      <w:r>
        <w:rPr>
          <w:rFonts w:ascii="等线" w:hAnsi="等线" w:eastAsia="等线"/>
          <w:b w:val="0"/>
          <w:sz w:val="21"/>
        </w:rPr>
        <w:t>四、公司治理结构</w:t>
      </w:r>
    </w:p>
    <w:p>
      <w:pPr>
        <w:jc w:val="left"/>
      </w:pPr>
      <w:r>
        <w:rPr>
          <w:rFonts w:ascii="等线" w:hAnsi="等线" w:eastAsia="等线"/>
          <w:b w:val="0"/>
          <w:sz w:val="21"/>
        </w:rPr>
        <w:t>1. 董事会构成</w:t>
      </w:r>
    </w:p>
    <w:p>
      <w:pPr>
        <w:jc w:val="left"/>
      </w:pPr>
      <w:r>
        <w:rPr>
          <w:rFonts w:ascii="等线" w:hAnsi="等线" w:eastAsia="等线"/>
          <w:b w:val="0"/>
          <w:sz w:val="21"/>
        </w:rPr>
        <w:t>2. 本银行的董事会由</w:t>
      </w:r>
      <w:r>
        <w:rPr>
          <w:rFonts w:ascii="等线" w:hAnsi="等线" w:eastAsia="等线"/>
          <w:b w:val="0"/>
          <w:sz w:val="21"/>
          <w:highlight w:val="yellow"/>
        </w:rPr>
        <w:t>[X]</w:t>
      </w:r>
      <w:r>
        <w:rPr>
          <w:rFonts w:ascii="等线" w:hAnsi="等线" w:eastAsia="等线"/>
          <w:b w:val="0"/>
          <w:sz w:val="21"/>
        </w:rPr>
        <w:t>名成员组成，其中独立董事占比为</w:t>
      </w:r>
      <w:r>
        <w:rPr>
          <w:rFonts w:ascii="等线" w:hAnsi="等线" w:eastAsia="等线"/>
          <w:b w:val="0"/>
          <w:sz w:val="21"/>
          <w:highlight w:val="yellow"/>
        </w:rPr>
        <w:t>[X]</w:t>
      </w:r>
      <w:r>
        <w:rPr>
          <w:rFonts w:ascii="等线" w:hAnsi="等线" w:eastAsia="等线"/>
          <w:b w:val="0"/>
          <w:sz w:val="21"/>
        </w:rPr>
        <w:t>%。董事会成员具有丰富的金融行业经验、企业管理经验以及专业知识背景，能够有效地履行战略决策、监督管理等职能。</w:t>
      </w:r>
    </w:p>
    <w:p>
      <w:pPr>
        <w:jc w:val="left"/>
      </w:pPr>
      <w:r>
        <w:rPr>
          <w:rFonts w:ascii="等线" w:hAnsi="等线" w:eastAsia="等线"/>
          <w:b w:val="0"/>
          <w:sz w:val="21"/>
        </w:rPr>
        <w:t>3. 风险管理体系</w:t>
      </w:r>
    </w:p>
    <w:p>
      <w:pPr>
        <w:jc w:val="left"/>
      </w:pPr>
      <w:r>
        <w:rPr>
          <w:rFonts w:ascii="等线" w:hAnsi="等线" w:eastAsia="等线"/>
          <w:b w:val="0"/>
          <w:sz w:val="21"/>
        </w:rPr>
        <w:t>4. 本银行建立了完善的风险管理体系，涵盖信用风险、市场风险、操作风险等多个方面。例如，本银行的不良贷款率控制在</w:t>
      </w:r>
      <w:r>
        <w:rPr>
          <w:rFonts w:ascii="等线" w:hAnsi="等线" w:eastAsia="等线"/>
          <w:b w:val="0"/>
          <w:sz w:val="21"/>
          <w:highlight w:val="yellow"/>
        </w:rPr>
        <w:t>[X]</w:t>
      </w:r>
      <w:r>
        <w:rPr>
          <w:rFonts w:ascii="等线" w:hAnsi="等线" w:eastAsia="等线"/>
          <w:b w:val="0"/>
          <w:sz w:val="21"/>
        </w:rPr>
        <w:t>%以内，资本充足率达到</w:t>
      </w:r>
      <w:r>
        <w:rPr>
          <w:rFonts w:ascii="等线" w:hAnsi="等线" w:eastAsia="等线"/>
          <w:b w:val="0"/>
          <w:sz w:val="21"/>
          <w:highlight w:val="yellow"/>
        </w:rPr>
        <w:t>[X]</w:t>
      </w:r>
      <w:r>
        <w:rPr>
          <w:rFonts w:ascii="等线" w:hAnsi="等线" w:eastAsia="等线"/>
          <w:b w:val="0"/>
          <w:sz w:val="21"/>
        </w:rPr>
        <w:t>%，远高于国际监管要求的最低标准，确保了本银行在复杂多变的市场环境中的稳健运营。</w:t>
      </w:r>
    </w:p>
    <w:p>
      <w:r>
        <w:br w:type="page"/>
      </w:r>
    </w:p>
    <w:p>
      <w:pPr>
        <w:pStyle w:val="Heading1"/>
      </w:pPr>
      <w:r>
        <w:rPr>
          <w:rFonts w:ascii="等线" w:hAnsi="等线" w:eastAsia="等线"/>
          <w:color w:val="000000"/>
          <w:sz w:val="44"/>
        </w:rPr>
        <w:t>经济表现</w:t>
      </w:r>
    </w:p>
    <w:p>
      <w:pPr>
        <w:jc w:val="left"/>
      </w:pPr>
      <w:r>
        <w:rPr>
          <w:rFonts w:ascii="等线" w:hAnsi="等线" w:eastAsia="等线"/>
          <w:b w:val="0"/>
          <w:sz w:val="21"/>
        </w:rPr>
        <w:t>以下是一个面向国际市场的大型国有银行业企业ESG报告中经济表现的内容模板：</w:t>
      </w:r>
    </w:p>
    <w:p>
      <w:pPr>
        <w:jc w:val="left"/>
      </w:pPr>
      <w:r>
        <w:rPr>
          <w:rFonts w:ascii="等线" w:hAnsi="等线" w:eastAsia="等线"/>
          <w:b w:val="0"/>
          <w:sz w:val="21"/>
        </w:rPr>
        <w:t>一、市场占有率</w:t>
      </w:r>
    </w:p>
    <w:p>
      <w:pPr>
        <w:jc w:val="left"/>
      </w:pPr>
      <w:r>
        <w:rPr>
          <w:rFonts w:ascii="等线" w:hAnsi="等线" w:eastAsia="等线"/>
          <w:b w:val="0"/>
          <w:sz w:val="21"/>
        </w:rPr>
        <w:t>在国际银行业市场中，本银行通过广泛的业务网络和多元化的金融服务积极拓展市场份额。根据国际金融机构的统计数据，截至</w:t>
      </w:r>
      <w:r>
        <w:rPr>
          <w:rFonts w:ascii="等线" w:hAnsi="等线" w:eastAsia="等线"/>
          <w:b w:val="0"/>
          <w:sz w:val="21"/>
          <w:highlight w:val="yellow"/>
        </w:rPr>
        <w:t>[具体年份]</w:t>
      </w:r>
      <w:r>
        <w:rPr>
          <w:rFonts w:ascii="等线" w:hAnsi="等线" w:eastAsia="等线"/>
          <w:b w:val="0"/>
          <w:sz w:val="21"/>
        </w:rPr>
        <w:t>，本银行在国际银行业总资产规模排名中位列</w:t>
      </w:r>
      <w:r>
        <w:rPr>
          <w:rFonts w:ascii="等线" w:hAnsi="等线" w:eastAsia="等线"/>
          <w:b w:val="0"/>
          <w:sz w:val="21"/>
          <w:highlight w:val="yellow"/>
        </w:rPr>
        <w:t>[X]</w:t>
      </w:r>
      <w:r>
        <w:rPr>
          <w:rFonts w:ascii="等线" w:hAnsi="等线" w:eastAsia="等线"/>
          <w:b w:val="0"/>
          <w:sz w:val="21"/>
        </w:rPr>
        <w:t>位，较</w:t>
      </w:r>
      <w:r>
        <w:rPr>
          <w:rFonts w:ascii="等线" w:hAnsi="等线" w:eastAsia="等线"/>
          <w:b w:val="0"/>
          <w:sz w:val="21"/>
          <w:highlight w:val="yellow"/>
        </w:rPr>
        <w:t>[对比年份]</w:t>
      </w:r>
      <w:r>
        <w:rPr>
          <w:rFonts w:ascii="等线" w:hAnsi="等线" w:eastAsia="等线"/>
          <w:b w:val="0"/>
          <w:sz w:val="21"/>
        </w:rPr>
        <w:t>上升/下降</w:t>
      </w:r>
      <w:r>
        <w:rPr>
          <w:rFonts w:ascii="等线" w:hAnsi="等线" w:eastAsia="等线"/>
          <w:b w:val="0"/>
          <w:sz w:val="21"/>
          <w:highlight w:val="yellow"/>
        </w:rPr>
        <w:t>[X]</w:t>
      </w:r>
      <w:r>
        <w:rPr>
          <w:rFonts w:ascii="等线" w:hAnsi="等线" w:eastAsia="等线"/>
          <w:b w:val="0"/>
          <w:sz w:val="21"/>
        </w:rPr>
        <w:t>位。在国际贸易融资业务领域，本银行占据了全球市场份额的</w:t>
      </w:r>
      <w:r>
        <w:rPr>
          <w:rFonts w:ascii="等线" w:hAnsi="等线" w:eastAsia="等线"/>
          <w:b w:val="0"/>
          <w:sz w:val="21"/>
          <w:highlight w:val="yellow"/>
        </w:rPr>
        <w:t>[X]</w:t>
      </w:r>
      <w:r>
        <w:rPr>
          <w:rFonts w:ascii="等线" w:hAnsi="等线" w:eastAsia="等线"/>
          <w:b w:val="0"/>
          <w:sz w:val="21"/>
        </w:rPr>
        <w:t>%，这一数据通过对全球主要贸易融资业务量的统计得出。在新兴市场的企业贷款业务方面，本银行的市场占有率达到</w:t>
      </w:r>
      <w:r>
        <w:rPr>
          <w:rFonts w:ascii="等线" w:hAnsi="等线" w:eastAsia="等线"/>
          <w:b w:val="0"/>
          <w:sz w:val="21"/>
          <w:highlight w:val="yellow"/>
        </w:rPr>
        <w:t>[X]</w:t>
      </w:r>
      <w:r>
        <w:rPr>
          <w:rFonts w:ascii="等线" w:hAnsi="等线" w:eastAsia="等线"/>
          <w:b w:val="0"/>
          <w:sz w:val="21"/>
        </w:rPr>
        <w:t>%，计算方式为在新兴市场国家本银行企业贷款余额与新兴市场国家企业贷款总余额的比值。</w:t>
      </w:r>
    </w:p>
    <w:p>
      <w:pPr>
        <w:jc w:val="left"/>
      </w:pPr>
      <w:r>
        <w:rPr>
          <w:rFonts w:ascii="等线" w:hAnsi="等线" w:eastAsia="等线"/>
          <w:b w:val="0"/>
          <w:sz w:val="21"/>
        </w:rPr>
        <w:t>二、营业收入</w:t>
      </w:r>
    </w:p>
    <w:p>
      <w:pPr>
        <w:jc w:val="left"/>
      </w:pPr>
      <w:r>
        <w:rPr>
          <w:rFonts w:ascii="等线" w:hAnsi="等线" w:eastAsia="等线"/>
          <w:b w:val="0"/>
          <w:sz w:val="21"/>
        </w:rPr>
        <w:t>本银行的营业收入主要来源于利息收入、手续费及佣金收入等多个板块。在</w:t>
      </w:r>
      <w:r>
        <w:rPr>
          <w:rFonts w:ascii="等线" w:hAnsi="等线" w:eastAsia="等线"/>
          <w:b w:val="0"/>
          <w:sz w:val="21"/>
          <w:highlight w:val="yellow"/>
        </w:rPr>
        <w:t>[具体年份]</w:t>
      </w:r>
      <w:r>
        <w:rPr>
          <w:rFonts w:ascii="等线" w:hAnsi="等线" w:eastAsia="等线"/>
          <w:b w:val="0"/>
          <w:sz w:val="21"/>
        </w:rPr>
        <w:t>，本银行实现营业收入总额为</w:t>
      </w:r>
      <w:r>
        <w:rPr>
          <w:rFonts w:ascii="等线" w:hAnsi="等线" w:eastAsia="等线"/>
          <w:b w:val="0"/>
          <w:sz w:val="21"/>
          <w:highlight w:val="yellow"/>
        </w:rPr>
        <w:t>[X]</w:t>
      </w:r>
      <w:r>
        <w:rPr>
          <w:rFonts w:ascii="等线" w:hAnsi="等线" w:eastAsia="等线"/>
          <w:b w:val="0"/>
          <w:sz w:val="21"/>
        </w:rPr>
        <w:t>亿美元。其中，利息收入达到</w:t>
      </w:r>
      <w:r>
        <w:rPr>
          <w:rFonts w:ascii="等线" w:hAnsi="等线" w:eastAsia="等线"/>
          <w:b w:val="0"/>
          <w:sz w:val="21"/>
          <w:highlight w:val="yellow"/>
        </w:rPr>
        <w:t>[X]</w:t>
      </w:r>
      <w:r>
        <w:rPr>
          <w:rFonts w:ascii="等线" w:hAnsi="等线" w:eastAsia="等线"/>
          <w:b w:val="0"/>
          <w:sz w:val="21"/>
        </w:rPr>
        <w:t>亿美元，占营业收入的</w:t>
      </w:r>
      <w:r>
        <w:rPr>
          <w:rFonts w:ascii="等线" w:hAnsi="等线" w:eastAsia="等线"/>
          <w:b w:val="0"/>
          <w:sz w:val="21"/>
          <w:highlight w:val="yellow"/>
        </w:rPr>
        <w:t>[X]</w:t>
      </w:r>
      <w:r>
        <w:rPr>
          <w:rFonts w:ascii="等线" w:hAnsi="等线" w:eastAsia="等线"/>
          <w:b w:val="0"/>
          <w:sz w:val="21"/>
        </w:rPr>
        <w:t>%。利息收入的增长得益于本银行在全球范围内稳健的贷款业务投放，贷款平均余额较</w:t>
      </w:r>
      <w:r>
        <w:rPr>
          <w:rFonts w:ascii="等线" w:hAnsi="等线" w:eastAsia="等线"/>
          <w:b w:val="0"/>
          <w:sz w:val="21"/>
          <w:highlight w:val="yellow"/>
        </w:rPr>
        <w:t>[对比年份]</w:t>
      </w:r>
      <w:r>
        <w:rPr>
          <w:rFonts w:ascii="等线" w:hAnsi="等线" w:eastAsia="等线"/>
          <w:b w:val="0"/>
          <w:sz w:val="21"/>
        </w:rPr>
        <w:t>增长了</w:t>
      </w:r>
      <w:r>
        <w:rPr>
          <w:rFonts w:ascii="等线" w:hAnsi="等线" w:eastAsia="等线"/>
          <w:b w:val="0"/>
          <w:sz w:val="21"/>
          <w:highlight w:val="yellow"/>
        </w:rPr>
        <w:t>[X]</w:t>
      </w:r>
      <w:r>
        <w:rPr>
          <w:rFonts w:ascii="等线" w:hAnsi="等线" w:eastAsia="等线"/>
          <w:b w:val="0"/>
          <w:sz w:val="21"/>
        </w:rPr>
        <w:t>%，达到</w:t>
      </w:r>
      <w:r>
        <w:rPr>
          <w:rFonts w:ascii="等线" w:hAnsi="等线" w:eastAsia="等线"/>
          <w:b w:val="0"/>
          <w:sz w:val="21"/>
          <w:highlight w:val="yellow"/>
        </w:rPr>
        <w:t>[X]</w:t>
      </w:r>
      <w:r>
        <w:rPr>
          <w:rFonts w:ascii="等线" w:hAnsi="等线" w:eastAsia="等线"/>
          <w:b w:val="0"/>
          <w:sz w:val="21"/>
        </w:rPr>
        <w:t>亿美元，同时贷款利率保持在合理水平，平均贷款利率为</w:t>
      </w:r>
      <w:r>
        <w:rPr>
          <w:rFonts w:ascii="等线" w:hAnsi="等线" w:eastAsia="等线"/>
          <w:b w:val="0"/>
          <w:sz w:val="21"/>
          <w:highlight w:val="yellow"/>
        </w:rPr>
        <w:t>[X]</w:t>
      </w:r>
      <w:r>
        <w:rPr>
          <w:rFonts w:ascii="等线" w:hAnsi="等线" w:eastAsia="等线"/>
          <w:b w:val="0"/>
          <w:sz w:val="21"/>
        </w:rPr>
        <w:t>%。手续费及佣金收入为</w:t>
      </w:r>
      <w:r>
        <w:rPr>
          <w:rFonts w:ascii="等线" w:hAnsi="等线" w:eastAsia="等线"/>
          <w:b w:val="0"/>
          <w:sz w:val="21"/>
          <w:highlight w:val="yellow"/>
        </w:rPr>
        <w:t>[X]</w:t>
      </w:r>
      <w:r>
        <w:rPr>
          <w:rFonts w:ascii="等线" w:hAnsi="等线" w:eastAsia="等线"/>
          <w:b w:val="0"/>
          <w:sz w:val="21"/>
        </w:rPr>
        <w:t>亿美元，占比</w:t>
      </w:r>
      <w:r>
        <w:rPr>
          <w:rFonts w:ascii="等线" w:hAnsi="等线" w:eastAsia="等线"/>
          <w:b w:val="0"/>
          <w:sz w:val="21"/>
          <w:highlight w:val="yellow"/>
        </w:rPr>
        <w:t>[X]</w:t>
      </w:r>
      <w:r>
        <w:rPr>
          <w:rFonts w:ascii="等线" w:hAnsi="等线" w:eastAsia="等线"/>
          <w:b w:val="0"/>
          <w:sz w:val="21"/>
        </w:rPr>
        <w:t>%，这部分收入主要来自于国际结算、资产管理等业务。国际结算业务量在</w:t>
      </w:r>
      <w:r>
        <w:rPr>
          <w:rFonts w:ascii="等线" w:hAnsi="等线" w:eastAsia="等线"/>
          <w:b w:val="0"/>
          <w:sz w:val="21"/>
          <w:highlight w:val="yellow"/>
        </w:rPr>
        <w:t>[具体年份]</w:t>
      </w:r>
      <w:r>
        <w:rPr>
          <w:rFonts w:ascii="等线" w:hAnsi="等线" w:eastAsia="等线"/>
          <w:b w:val="0"/>
          <w:sz w:val="21"/>
        </w:rPr>
        <w:t>达到</w:t>
      </w:r>
      <w:r>
        <w:rPr>
          <w:rFonts w:ascii="等线" w:hAnsi="等线" w:eastAsia="等线"/>
          <w:b w:val="0"/>
          <w:sz w:val="21"/>
          <w:highlight w:val="yellow"/>
        </w:rPr>
        <w:t>[X]</w:t>
      </w:r>
      <w:r>
        <w:rPr>
          <w:rFonts w:ascii="等线" w:hAnsi="等线" w:eastAsia="等线"/>
          <w:b w:val="0"/>
          <w:sz w:val="21"/>
        </w:rPr>
        <w:t>笔，同比增长</w:t>
      </w:r>
      <w:r>
        <w:rPr>
          <w:rFonts w:ascii="等线" w:hAnsi="等线" w:eastAsia="等线"/>
          <w:b w:val="0"/>
          <w:sz w:val="21"/>
          <w:highlight w:val="yellow"/>
        </w:rPr>
        <w:t>[X]</w:t>
      </w:r>
      <w:r>
        <w:rPr>
          <w:rFonts w:ascii="等线" w:hAnsi="等线" w:eastAsia="等线"/>
          <w:b w:val="0"/>
          <w:sz w:val="21"/>
        </w:rPr>
        <w:t>%，带动了相关手续费收入的增长。</w:t>
      </w:r>
    </w:p>
    <w:p>
      <w:pPr>
        <w:jc w:val="left"/>
      </w:pPr>
      <w:r>
        <w:rPr>
          <w:rFonts w:ascii="等线" w:hAnsi="等线" w:eastAsia="等线"/>
          <w:b w:val="0"/>
          <w:sz w:val="21"/>
        </w:rPr>
        <w:t>三、营业成本</w:t>
      </w:r>
    </w:p>
    <w:p>
      <w:pPr>
        <w:jc w:val="left"/>
      </w:pPr>
      <w:r>
        <w:rPr>
          <w:rFonts w:ascii="等线" w:hAnsi="等线" w:eastAsia="等线"/>
          <w:b w:val="0"/>
          <w:sz w:val="21"/>
        </w:rPr>
        <w:t>营业成本的有效控制是本银行保持盈利能力的关键因素之一。</w:t>
      </w:r>
      <w:r>
        <w:rPr>
          <w:rFonts w:ascii="等线" w:hAnsi="等线" w:eastAsia="等线"/>
          <w:b w:val="0"/>
          <w:sz w:val="21"/>
          <w:highlight w:val="yellow"/>
        </w:rPr>
        <w:t>[具体年份]</w:t>
      </w:r>
      <w:r>
        <w:rPr>
          <w:rFonts w:ascii="等线" w:hAnsi="等线" w:eastAsia="等线"/>
          <w:b w:val="0"/>
          <w:sz w:val="21"/>
        </w:rPr>
        <w:t>，本银行的营业成本总计</w:t>
      </w:r>
      <w:r>
        <w:rPr>
          <w:rFonts w:ascii="等线" w:hAnsi="等线" w:eastAsia="等线"/>
          <w:b w:val="0"/>
          <w:sz w:val="21"/>
          <w:highlight w:val="yellow"/>
        </w:rPr>
        <w:t>[X]</w:t>
      </w:r>
      <w:r>
        <w:rPr>
          <w:rFonts w:ascii="等线" w:hAnsi="等线" w:eastAsia="等线"/>
          <w:b w:val="0"/>
          <w:sz w:val="21"/>
        </w:rPr>
        <w:t>亿美元。其中，员工薪酬支出为</w:t>
      </w:r>
      <w:r>
        <w:rPr>
          <w:rFonts w:ascii="等线" w:hAnsi="等线" w:eastAsia="等线"/>
          <w:b w:val="0"/>
          <w:sz w:val="21"/>
          <w:highlight w:val="yellow"/>
        </w:rPr>
        <w:t>[X]</w:t>
      </w:r>
      <w:r>
        <w:rPr>
          <w:rFonts w:ascii="等线" w:hAnsi="等线" w:eastAsia="等线"/>
          <w:b w:val="0"/>
          <w:sz w:val="21"/>
        </w:rPr>
        <w:t>亿美元，占营业成本的</w:t>
      </w:r>
      <w:r>
        <w:rPr>
          <w:rFonts w:ascii="等线" w:hAnsi="等线" w:eastAsia="等线"/>
          <w:b w:val="0"/>
          <w:sz w:val="21"/>
          <w:highlight w:val="yellow"/>
        </w:rPr>
        <w:t>[X]</w:t>
      </w:r>
      <w:r>
        <w:rPr>
          <w:rFonts w:ascii="等线" w:hAnsi="等线" w:eastAsia="等线"/>
          <w:b w:val="0"/>
          <w:sz w:val="21"/>
        </w:rPr>
        <w:t>%。本银行通过优化人员结构、提高员工效率等措施，在业务规模增长的情况下，员工人数仅增长了</w:t>
      </w:r>
      <w:r>
        <w:rPr>
          <w:rFonts w:ascii="等线" w:hAnsi="等线" w:eastAsia="等线"/>
          <w:b w:val="0"/>
          <w:sz w:val="21"/>
          <w:highlight w:val="yellow"/>
        </w:rPr>
        <w:t>[X]</w:t>
      </w:r>
      <w:r>
        <w:rPr>
          <w:rFonts w:ascii="等线" w:hAnsi="等线" w:eastAsia="等线"/>
          <w:b w:val="0"/>
          <w:sz w:val="21"/>
        </w:rPr>
        <w:t>%，员工平均薪酬增长幅度控制在</w:t>
      </w:r>
      <w:r>
        <w:rPr>
          <w:rFonts w:ascii="等线" w:hAnsi="等线" w:eastAsia="等线"/>
          <w:b w:val="0"/>
          <w:sz w:val="21"/>
          <w:highlight w:val="yellow"/>
        </w:rPr>
        <w:t>[X]</w:t>
      </w:r>
      <w:r>
        <w:rPr>
          <w:rFonts w:ascii="等线" w:hAnsi="等线" w:eastAsia="等线"/>
          <w:b w:val="0"/>
          <w:sz w:val="21"/>
        </w:rPr>
        <w:t>%以内。运营成本（包括办公场所租赁、设备购置与维护等）为</w:t>
      </w:r>
      <w:r>
        <w:rPr>
          <w:rFonts w:ascii="等线" w:hAnsi="等线" w:eastAsia="等线"/>
          <w:b w:val="0"/>
          <w:sz w:val="21"/>
          <w:highlight w:val="yellow"/>
        </w:rPr>
        <w:t>[X]</w:t>
      </w:r>
      <w:r>
        <w:rPr>
          <w:rFonts w:ascii="等线" w:hAnsi="等线" w:eastAsia="等线"/>
          <w:b w:val="0"/>
          <w:sz w:val="21"/>
        </w:rPr>
        <w:t>亿美元，占营业成本的</w:t>
      </w:r>
      <w:r>
        <w:rPr>
          <w:rFonts w:ascii="等线" w:hAnsi="等线" w:eastAsia="等线"/>
          <w:b w:val="0"/>
          <w:sz w:val="21"/>
          <w:highlight w:val="yellow"/>
        </w:rPr>
        <w:t>[X]</w:t>
      </w:r>
      <w:r>
        <w:rPr>
          <w:rFonts w:ascii="等线" w:hAnsi="等线" w:eastAsia="等线"/>
          <w:b w:val="0"/>
          <w:sz w:val="21"/>
        </w:rPr>
        <w:t>%。本银行积极推进数字化转型，通过线上化办公、智能化运营等手段，使得运营成本较</w:t>
      </w:r>
      <w:r>
        <w:rPr>
          <w:rFonts w:ascii="等线" w:hAnsi="等线" w:eastAsia="等线"/>
          <w:b w:val="0"/>
          <w:sz w:val="21"/>
          <w:highlight w:val="yellow"/>
        </w:rPr>
        <w:t>[对比年份]</w:t>
      </w:r>
      <w:r>
        <w:rPr>
          <w:rFonts w:ascii="等线" w:hAnsi="等线" w:eastAsia="等线"/>
          <w:b w:val="0"/>
          <w:sz w:val="21"/>
        </w:rPr>
        <w:t>降低了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四、利润总额与净利润</w:t>
      </w:r>
    </w:p>
    <w:p>
      <w:pPr>
        <w:jc w:val="left"/>
      </w:pPr>
      <w:r>
        <w:rPr>
          <w:rFonts w:ascii="等线" w:hAnsi="等线" w:eastAsia="等线"/>
          <w:b w:val="0"/>
          <w:sz w:val="21"/>
        </w:rPr>
        <w:t>在</w:t>
      </w:r>
      <w:r>
        <w:rPr>
          <w:rFonts w:ascii="等线" w:hAnsi="等线" w:eastAsia="等线"/>
          <w:b w:val="0"/>
          <w:sz w:val="21"/>
          <w:highlight w:val="yellow"/>
        </w:rPr>
        <w:t>[具体年份]</w:t>
      </w:r>
      <w:r>
        <w:rPr>
          <w:rFonts w:ascii="等线" w:hAnsi="等线" w:eastAsia="等线"/>
          <w:b w:val="0"/>
          <w:sz w:val="21"/>
        </w:rPr>
        <w:t>，本银行实现利润总额为</w:t>
      </w:r>
      <w:r>
        <w:rPr>
          <w:rFonts w:ascii="等线" w:hAnsi="等线" w:eastAsia="等线"/>
          <w:b w:val="0"/>
          <w:sz w:val="21"/>
          <w:highlight w:val="yellow"/>
        </w:rPr>
        <w:t>[X]</w:t>
      </w:r>
      <w:r>
        <w:rPr>
          <w:rFonts w:ascii="等线" w:hAnsi="等线" w:eastAsia="等线"/>
          <w:b w:val="0"/>
          <w:sz w:val="21"/>
        </w:rPr>
        <w:t>亿美元。这一数据是在扣除营业成本、减值损失等各项费用后得出的。减值损失方面，本银行计提了</w:t>
      </w:r>
      <w:r>
        <w:rPr>
          <w:rFonts w:ascii="等线" w:hAnsi="等线" w:eastAsia="等线"/>
          <w:b w:val="0"/>
          <w:sz w:val="21"/>
          <w:highlight w:val="yellow"/>
        </w:rPr>
        <w:t>[X]</w:t>
      </w:r>
      <w:r>
        <w:rPr>
          <w:rFonts w:ascii="等线" w:hAnsi="等线" w:eastAsia="等线"/>
          <w:b w:val="0"/>
          <w:sz w:val="21"/>
        </w:rPr>
        <w:t>亿美元的贷款减值准备，主要是基于对全球经济形势和部分行业风险的审慎评估。净利润为</w:t>
      </w:r>
      <w:r>
        <w:rPr>
          <w:rFonts w:ascii="等线" w:hAnsi="等线" w:eastAsia="等线"/>
          <w:b w:val="0"/>
          <w:sz w:val="21"/>
          <w:highlight w:val="yellow"/>
        </w:rPr>
        <w:t>[X]</w:t>
      </w:r>
      <w:r>
        <w:rPr>
          <w:rFonts w:ascii="等线" w:hAnsi="等线" w:eastAsia="等线"/>
          <w:b w:val="0"/>
          <w:sz w:val="21"/>
        </w:rPr>
        <w:t>亿美元，净利润率达到</w:t>
      </w:r>
      <w:r>
        <w:rPr>
          <w:rFonts w:ascii="等线" w:hAnsi="等线" w:eastAsia="等线"/>
          <w:b w:val="0"/>
          <w:sz w:val="21"/>
          <w:highlight w:val="yellow"/>
        </w:rPr>
        <w:t>[X]</w:t>
      </w:r>
      <w:r>
        <w:rPr>
          <w:rFonts w:ascii="等线" w:hAnsi="等线" w:eastAsia="等线"/>
          <w:b w:val="0"/>
          <w:sz w:val="21"/>
        </w:rPr>
        <w:t>%。净利润的增长反映了本银行在业务拓展、成本控制和风险管理等多方面取得的综合成果。同时，本银行通过合理的利润留存政策，不断充实核心资本，以增强抵御风险的能力，提高国际市场竞争力。</w:t>
      </w:r>
    </w:p>
    <w:p>
      <w:pPr>
        <w:jc w:val="left"/>
      </w:pPr>
      <w:r>
        <w:rPr>
          <w:rFonts w:ascii="等线" w:hAnsi="等线" w:eastAsia="等线"/>
          <w:b w:val="0"/>
          <w:sz w:val="21"/>
        </w:rPr>
        <w:t>通过以上各项经济指标的披露，可以全面展示本大型国有银行业企业在国际市场中的经济表现，体现其在市场竞争中的地位、经营效益以及可持续发展的经济基础。</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年收入</w:t>
            </w:r>
          </w:p>
        </w:tc>
        <w:tc>
          <w:tcPr>
            <w:tcW w:type="dxa" w:w="3213"/>
          </w:tcPr>
          <w:p>
            <w:r>
              <w:rPr>
                <w:sz w:val="21"/>
              </w:rPr>
              <w:t>万元</w:t>
            </w:r>
          </w:p>
        </w:tc>
        <w:tc>
          <w:tcPr>
            <w:tcW w:type="dxa" w:w="3213"/>
          </w:tcPr>
          <w:p>
            <w:r>
              <w:rPr>
                <w:sz w:val="21"/>
              </w:rPr>
            </w:r>
          </w:p>
        </w:tc>
      </w:tr>
      <w:tr>
        <w:tc>
          <w:tcPr>
            <w:tcW w:type="dxa" w:w="3213"/>
          </w:tcPr>
          <w:p>
            <w:r>
              <w:rPr>
                <w:sz w:val="21"/>
              </w:rPr>
              <w:t>年度纳税额</w:t>
            </w:r>
          </w:p>
        </w:tc>
        <w:tc>
          <w:tcPr>
            <w:tcW w:type="dxa" w:w="3213"/>
          </w:tcPr>
          <w:p>
            <w:r>
              <w:rPr>
                <w:sz w:val="21"/>
              </w:rPr>
              <w:t>万元</w:t>
            </w:r>
          </w:p>
        </w:tc>
        <w:tc>
          <w:tcPr>
            <w:tcW w:type="dxa" w:w="3213"/>
          </w:tcPr>
          <w:p>
            <w:r>
              <w:rPr>
                <w:sz w:val="21"/>
              </w:rPr>
            </w:r>
          </w:p>
        </w:tc>
      </w:tr>
    </w:tbl>
    <w:p>
      <w:r>
        <w:br w:type="page"/>
      </w:r>
    </w:p>
    <w:p>
      <w:pPr>
        <w:pStyle w:val="Heading1"/>
      </w:pPr>
      <w:r>
        <w:rPr>
          <w:rFonts w:ascii="等线" w:hAnsi="等线" w:eastAsia="等线"/>
          <w:color w:val="000000"/>
          <w:sz w:val="44"/>
        </w:rPr>
        <w:t>可持续发展亮点</w:t>
      </w:r>
    </w:p>
    <w:p>
      <w:pPr>
        <w:jc w:val="left"/>
      </w:pPr>
      <w:r>
        <w:rPr>
          <w:rFonts w:ascii="等线" w:hAnsi="等线" w:eastAsia="等线"/>
          <w:b w:val="0"/>
          <w:sz w:val="21"/>
        </w:rPr>
        <w:t>以下是面向国际市场的大型国有银行业企业ESG报告中关于获得政府或权威机构颁发的ESG或可持续发展相关荣誉部分的内容模板：</w:t>
      </w:r>
    </w:p>
    <w:p>
      <w:pPr>
        <w:jc w:val="left"/>
      </w:pPr>
      <w:r>
        <w:rPr>
          <w:rFonts w:ascii="等线" w:hAnsi="等线" w:eastAsia="等线"/>
          <w:b w:val="0"/>
          <w:sz w:val="21"/>
        </w:rPr>
        <w:t>一、国际权威ESG评级机构相关荣誉</w:t>
      </w:r>
    </w:p>
    <w:p>
      <w:pPr>
        <w:jc w:val="left"/>
      </w:pPr>
      <w:r>
        <w:rPr>
          <w:rFonts w:ascii="等线" w:hAnsi="等线" w:eastAsia="等线"/>
          <w:b w:val="0"/>
          <w:sz w:val="21"/>
        </w:rPr>
        <w:t>1. MSCI ESG评级提升</w:t>
      </w:r>
    </w:p>
    <w:p>
      <w:pPr>
        <w:jc w:val="left"/>
      </w:pPr>
      <w:r>
        <w:rPr>
          <w:rFonts w:ascii="等线" w:hAnsi="等线" w:eastAsia="等线"/>
          <w:b w:val="0"/>
          <w:sz w:val="21"/>
        </w:rPr>
        <w:t>2. 在过去</w:t>
      </w:r>
      <w:r>
        <w:rPr>
          <w:rFonts w:ascii="等线" w:hAnsi="等线" w:eastAsia="等线"/>
          <w:b w:val="0"/>
          <w:sz w:val="21"/>
          <w:highlight w:val="yellow"/>
        </w:rPr>
        <w:t>[X]</w:t>
      </w:r>
      <w:r>
        <w:rPr>
          <w:rFonts w:ascii="等线" w:hAnsi="等线" w:eastAsia="等线"/>
          <w:b w:val="0"/>
          <w:sz w:val="21"/>
        </w:rPr>
        <w:t>年中，本银行在MSCI的ESG评级中实现了显著提升。从</w:t>
      </w:r>
      <w:r>
        <w:rPr>
          <w:rFonts w:ascii="等线" w:hAnsi="等线" w:eastAsia="等线"/>
          <w:b w:val="0"/>
          <w:sz w:val="21"/>
          <w:highlight w:val="yellow"/>
        </w:rPr>
        <w:t>[初始评级]</w:t>
      </w:r>
      <w:r>
        <w:rPr>
          <w:rFonts w:ascii="等线" w:hAnsi="等线" w:eastAsia="等线"/>
          <w:b w:val="0"/>
          <w:sz w:val="21"/>
        </w:rPr>
        <w:t>提升至</w:t>
      </w:r>
      <w:r>
        <w:rPr>
          <w:rFonts w:ascii="等线" w:hAnsi="等线" w:eastAsia="等线"/>
          <w:b w:val="0"/>
          <w:sz w:val="21"/>
          <w:highlight w:val="yellow"/>
        </w:rPr>
        <w:t>[当前评级]</w:t>
      </w:r>
      <w:r>
        <w:rPr>
          <w:rFonts w:ascii="等线" w:hAnsi="等线" w:eastAsia="等线"/>
          <w:b w:val="0"/>
          <w:sz w:val="21"/>
        </w:rPr>
        <w:t>。MSCI的评级考量了环境、社会和公司治理等多方面因素，其中在环境方面，本银行在应对气候变化相关的风险管理得分提高了</w:t>
      </w:r>
      <w:r>
        <w:rPr>
          <w:rFonts w:ascii="等线" w:hAnsi="等线" w:eastAsia="等线"/>
          <w:b w:val="0"/>
          <w:sz w:val="21"/>
          <w:highlight w:val="yellow"/>
        </w:rPr>
        <w:t>[X]</w:t>
      </w:r>
      <w:r>
        <w:rPr>
          <w:rFonts w:ascii="等线" w:hAnsi="等线" w:eastAsia="等线"/>
          <w:b w:val="0"/>
          <w:sz w:val="21"/>
        </w:rPr>
        <w:t>%。这一提升得益于我们在绿色金融业务的大力拓展以及对自身运营碳排放的有效管理。</w:t>
      </w:r>
    </w:p>
    <w:p>
      <w:pPr>
        <w:jc w:val="left"/>
      </w:pPr>
      <w:r>
        <w:rPr>
          <w:rFonts w:ascii="等线" w:hAnsi="等线" w:eastAsia="等线"/>
          <w:b w:val="0"/>
          <w:sz w:val="21"/>
        </w:rPr>
        <w:t>3. 在社会维度，我们在员工多样性与包容性方面的得分提升了</w:t>
      </w:r>
      <w:r>
        <w:rPr>
          <w:rFonts w:ascii="等线" w:hAnsi="等线" w:eastAsia="等线"/>
          <w:b w:val="0"/>
          <w:sz w:val="21"/>
          <w:highlight w:val="yellow"/>
        </w:rPr>
        <w:t>[X]</w:t>
      </w:r>
      <w:r>
        <w:rPr>
          <w:rFonts w:ascii="等线" w:hAnsi="等线" w:eastAsia="等线"/>
          <w:b w:val="0"/>
          <w:sz w:val="21"/>
        </w:rPr>
        <w:t>分。本银行积极推动性别平等，女性员工在高级管理层中的占比从</w:t>
      </w:r>
      <w:r>
        <w:rPr>
          <w:rFonts w:ascii="等线" w:hAnsi="等线" w:eastAsia="等线"/>
          <w:b w:val="0"/>
          <w:sz w:val="21"/>
          <w:highlight w:val="yellow"/>
        </w:rPr>
        <w:t>[初始比例]</w:t>
      </w:r>
      <w:r>
        <w:rPr>
          <w:rFonts w:ascii="等线" w:hAnsi="等线" w:eastAsia="等线"/>
          <w:b w:val="0"/>
          <w:sz w:val="21"/>
        </w:rPr>
        <w:t>提高到了</w:t>
      </w:r>
      <w:r>
        <w:rPr>
          <w:rFonts w:ascii="等线" w:hAnsi="等线" w:eastAsia="等线"/>
          <w:b w:val="0"/>
          <w:sz w:val="21"/>
          <w:highlight w:val="yellow"/>
        </w:rPr>
        <w:t>[当前比例]</w:t>
      </w:r>
      <w:r>
        <w:rPr>
          <w:rFonts w:ascii="等线" w:hAnsi="等线" w:eastAsia="等线"/>
          <w:b w:val="0"/>
          <w:sz w:val="21"/>
        </w:rPr>
        <w:t>，并且制定了一系列针对少数族裔员工的职业发展支持计划。</w:t>
      </w:r>
    </w:p>
    <w:p>
      <w:pPr>
        <w:jc w:val="left"/>
      </w:pPr>
      <w:r>
        <w:rPr>
          <w:rFonts w:ascii="等线" w:hAnsi="等线" w:eastAsia="等线"/>
          <w:b w:val="0"/>
          <w:sz w:val="21"/>
        </w:rPr>
        <w:t>4. 在公司治理方面，我们的董事会独立性和透明度得分较之前提高了</w:t>
      </w:r>
      <w:r>
        <w:rPr>
          <w:rFonts w:ascii="等线" w:hAnsi="等线" w:eastAsia="等线"/>
          <w:b w:val="0"/>
          <w:sz w:val="21"/>
          <w:highlight w:val="yellow"/>
        </w:rPr>
        <w:t>[X]</w:t>
      </w:r>
      <w:r>
        <w:rPr>
          <w:rFonts w:ascii="等线" w:hAnsi="等线" w:eastAsia="等线"/>
          <w:b w:val="0"/>
          <w:sz w:val="21"/>
        </w:rPr>
        <w:t>%。通过加强内部审计和风险管理机制，提高了信息披露的质量和及时性。</w:t>
      </w:r>
    </w:p>
    <w:p>
      <w:pPr>
        <w:jc w:val="left"/>
      </w:pPr>
      <w:r>
        <w:rPr>
          <w:rFonts w:ascii="等线" w:hAnsi="等线" w:eastAsia="等线"/>
          <w:b w:val="0"/>
          <w:sz w:val="21"/>
        </w:rPr>
        <w:t>5. Sustainalytics评级表现</w:t>
      </w:r>
    </w:p>
    <w:p>
      <w:pPr>
        <w:jc w:val="left"/>
      </w:pPr>
      <w:r>
        <w:rPr>
          <w:rFonts w:ascii="等线" w:hAnsi="等线" w:eastAsia="等线"/>
          <w:b w:val="0"/>
          <w:sz w:val="21"/>
        </w:rPr>
        <w:t>6. 本银行在Sustainalytics的ESG风险评级中处于</w:t>
      </w:r>
      <w:r>
        <w:rPr>
          <w:rFonts w:ascii="等线" w:hAnsi="等线" w:eastAsia="等线"/>
          <w:b w:val="0"/>
          <w:sz w:val="21"/>
          <w:highlight w:val="yellow"/>
        </w:rPr>
        <w:t>[具体风险等级]</w:t>
      </w:r>
      <w:r>
        <w:rPr>
          <w:rFonts w:ascii="等线" w:hAnsi="等线" w:eastAsia="等线"/>
          <w:b w:val="0"/>
          <w:sz w:val="21"/>
        </w:rPr>
        <w:t>，与同行业相比，在</w:t>
      </w:r>
      <w:r>
        <w:rPr>
          <w:rFonts w:ascii="等线" w:hAnsi="等线" w:eastAsia="等线"/>
          <w:b w:val="0"/>
          <w:sz w:val="21"/>
          <w:highlight w:val="yellow"/>
        </w:rPr>
        <w:t>[具体年份]</w:t>
      </w:r>
      <w:r>
        <w:rPr>
          <w:rFonts w:ascii="等线" w:hAnsi="等线" w:eastAsia="等线"/>
          <w:b w:val="0"/>
          <w:sz w:val="21"/>
        </w:rPr>
        <w:t>的ESG风险得分降低了</w:t>
      </w:r>
      <w:r>
        <w:rPr>
          <w:rFonts w:ascii="等线" w:hAnsi="等线" w:eastAsia="等线"/>
          <w:b w:val="0"/>
          <w:sz w:val="21"/>
          <w:highlight w:val="yellow"/>
        </w:rPr>
        <w:t>[X]</w:t>
      </w:r>
      <w:r>
        <w:rPr>
          <w:rFonts w:ascii="等线" w:hAnsi="等线" w:eastAsia="等线"/>
          <w:b w:val="0"/>
          <w:sz w:val="21"/>
        </w:rPr>
        <w:t>分。这主要归因于我们在可持续金融政策的不断完善和执行方面的努力。例如，我们对高污染、高能耗企业的贷款占比下降了</w:t>
      </w:r>
      <w:r>
        <w:rPr>
          <w:rFonts w:ascii="等线" w:hAnsi="等线" w:eastAsia="等线"/>
          <w:b w:val="0"/>
          <w:sz w:val="21"/>
          <w:highlight w:val="yellow"/>
        </w:rPr>
        <w:t>[X]</w:t>
      </w:r>
      <w:r>
        <w:rPr>
          <w:rFonts w:ascii="等线" w:hAnsi="等线" w:eastAsia="等线"/>
          <w:b w:val="0"/>
          <w:sz w:val="21"/>
        </w:rPr>
        <w:t>%，同时对可再生能源、绿色交通等可持续发展领域的贷款投放增长了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二、政府及国际组织相关荣誉</w:t>
      </w:r>
    </w:p>
    <w:p>
      <w:pPr>
        <w:jc w:val="left"/>
      </w:pPr>
      <w:r>
        <w:rPr>
          <w:rFonts w:ascii="等线" w:hAnsi="等线" w:eastAsia="等线"/>
          <w:b w:val="0"/>
          <w:sz w:val="21"/>
        </w:rPr>
        <w:t>1. 联合国相关荣誉</w:t>
      </w:r>
    </w:p>
    <w:p>
      <w:pPr>
        <w:jc w:val="left"/>
      </w:pPr>
      <w:r>
        <w:rPr>
          <w:rFonts w:ascii="等线" w:hAnsi="等线" w:eastAsia="等线"/>
          <w:b w:val="0"/>
          <w:sz w:val="21"/>
        </w:rPr>
        <w:t>2. 荣获联合国环境规划署金融倡议（UNEP FI）颁发的</w:t>
      </w:r>
      <w:r>
        <w:rPr>
          <w:rFonts w:ascii="等线" w:hAnsi="等线" w:eastAsia="等线"/>
          <w:b w:val="0"/>
          <w:sz w:val="21"/>
          <w:highlight w:val="yellow"/>
        </w:rPr>
        <w:t>[具体奖项名称]</w:t>
      </w:r>
      <w:r>
        <w:rPr>
          <w:rFonts w:ascii="等线" w:hAnsi="等线" w:eastAsia="等线"/>
          <w:b w:val="0"/>
          <w:sz w:val="21"/>
        </w:rPr>
        <w:t>。这一荣誉是对本银行在推动全球可持续金融发展方面的认可。本银行积极参与UNEP FI的各项活动，承诺按照联合国可持续发展目标（SDGs）调整业务战略。截至</w:t>
      </w:r>
      <w:r>
        <w:rPr>
          <w:rFonts w:ascii="等线" w:hAnsi="等线" w:eastAsia="等线"/>
          <w:b w:val="0"/>
          <w:sz w:val="21"/>
          <w:highlight w:val="yellow"/>
        </w:rPr>
        <w:t>[具体日期]</w:t>
      </w:r>
      <w:r>
        <w:rPr>
          <w:rFonts w:ascii="等线" w:hAnsi="等线" w:eastAsia="等线"/>
          <w:b w:val="0"/>
          <w:sz w:val="21"/>
        </w:rPr>
        <w:t>，我们为支持SDGs相关项目提供的融资总额达到了</w:t>
      </w:r>
      <w:r>
        <w:rPr>
          <w:rFonts w:ascii="等线" w:hAnsi="等线" w:eastAsia="等线"/>
          <w:b w:val="0"/>
          <w:sz w:val="21"/>
          <w:highlight w:val="yellow"/>
        </w:rPr>
        <w:t>[X]</w:t>
      </w:r>
      <w:r>
        <w:rPr>
          <w:rFonts w:ascii="等线" w:hAnsi="等线" w:eastAsia="等线"/>
          <w:b w:val="0"/>
          <w:sz w:val="21"/>
        </w:rPr>
        <w:t>亿美元，其中专门针对消除贫困（SDG1）的小额信贷业务累计发放贷款</w:t>
      </w:r>
      <w:r>
        <w:rPr>
          <w:rFonts w:ascii="等线" w:hAnsi="等线" w:eastAsia="等线"/>
          <w:b w:val="0"/>
          <w:sz w:val="21"/>
          <w:highlight w:val="yellow"/>
        </w:rPr>
        <w:t>[X]</w:t>
      </w:r>
      <w:r>
        <w:rPr>
          <w:rFonts w:ascii="等线" w:hAnsi="等线" w:eastAsia="等线"/>
          <w:b w:val="0"/>
          <w:sz w:val="21"/>
        </w:rPr>
        <w:t>笔，金额总计达</w:t>
      </w:r>
      <w:r>
        <w:rPr>
          <w:rFonts w:ascii="等线" w:hAnsi="等线" w:eastAsia="等线"/>
          <w:b w:val="0"/>
          <w:sz w:val="21"/>
          <w:highlight w:val="yellow"/>
        </w:rPr>
        <w:t>[X]</w:t>
      </w:r>
      <w:r>
        <w:rPr>
          <w:rFonts w:ascii="等线" w:hAnsi="等线" w:eastAsia="等线"/>
          <w:b w:val="0"/>
          <w:sz w:val="21"/>
        </w:rPr>
        <w:t>亿美元；在应对气候变化（SDG13）方面，绿色信贷余额达到</w:t>
      </w:r>
      <w:r>
        <w:rPr>
          <w:rFonts w:ascii="等线" w:hAnsi="等线" w:eastAsia="等线"/>
          <w:b w:val="0"/>
          <w:sz w:val="21"/>
          <w:highlight w:val="yellow"/>
        </w:rPr>
        <w:t>[X]</w:t>
      </w:r>
      <w:r>
        <w:rPr>
          <w:rFonts w:ascii="等线" w:hAnsi="等线" w:eastAsia="等线"/>
          <w:b w:val="0"/>
          <w:sz w:val="21"/>
        </w:rPr>
        <w:t>亿美元，同比增长</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本国政府颁发的荣誉</w:t>
      </w:r>
    </w:p>
    <w:p>
      <w:pPr>
        <w:jc w:val="left"/>
      </w:pPr>
      <w:r>
        <w:rPr>
          <w:rFonts w:ascii="等线" w:hAnsi="等线" w:eastAsia="等线"/>
          <w:b w:val="0"/>
          <w:sz w:val="21"/>
        </w:rPr>
        <w:t>4. 获得本国政府</w:t>
      </w:r>
      <w:r>
        <w:rPr>
          <w:rFonts w:ascii="等线" w:hAnsi="等线" w:eastAsia="等线"/>
          <w:b w:val="0"/>
          <w:sz w:val="21"/>
          <w:highlight w:val="yellow"/>
        </w:rPr>
        <w:t>[具体部门]</w:t>
      </w:r>
      <w:r>
        <w:rPr>
          <w:rFonts w:ascii="等线" w:hAnsi="等线" w:eastAsia="等线"/>
          <w:b w:val="0"/>
          <w:sz w:val="21"/>
        </w:rPr>
        <w:t>颁发的“绿色金融示范银行”称号。这一荣誉是基于本银行在绿色金融产品创新和绿色信贷投放规模方面的卓越表现。本银行开发了</w:t>
      </w:r>
      <w:r>
        <w:rPr>
          <w:rFonts w:ascii="等线" w:hAnsi="等线" w:eastAsia="等线"/>
          <w:b w:val="0"/>
          <w:sz w:val="21"/>
          <w:highlight w:val="yellow"/>
        </w:rPr>
        <w:t>[X]</w:t>
      </w:r>
      <w:r>
        <w:rPr>
          <w:rFonts w:ascii="等线" w:hAnsi="等线" w:eastAsia="等线"/>
          <w:b w:val="0"/>
          <w:sz w:val="21"/>
        </w:rPr>
        <w:t>种绿色金融产品，包括绿色债券、绿色基金等。其中，绿色债券发行量在过去</w:t>
      </w:r>
      <w:r>
        <w:rPr>
          <w:rFonts w:ascii="等线" w:hAnsi="等线" w:eastAsia="等线"/>
          <w:b w:val="0"/>
          <w:sz w:val="21"/>
          <w:highlight w:val="yellow"/>
        </w:rPr>
        <w:t>[X]</w:t>
      </w:r>
      <w:r>
        <w:rPr>
          <w:rFonts w:ascii="等线" w:hAnsi="等线" w:eastAsia="等线"/>
          <w:b w:val="0"/>
          <w:sz w:val="21"/>
        </w:rPr>
        <w:t>年累计达到</w:t>
      </w:r>
      <w:r>
        <w:rPr>
          <w:rFonts w:ascii="等线" w:hAnsi="等线" w:eastAsia="等线"/>
          <w:b w:val="0"/>
          <w:sz w:val="21"/>
          <w:highlight w:val="yellow"/>
        </w:rPr>
        <w:t>[X]</w:t>
      </w:r>
      <w:r>
        <w:rPr>
          <w:rFonts w:ascii="等线" w:hAnsi="等线" w:eastAsia="等线"/>
          <w:b w:val="0"/>
          <w:sz w:val="21"/>
        </w:rPr>
        <w:t>亿美元，为国内众多绿色项目提供了稳定的资金来源。</w:t>
      </w:r>
    </w:p>
    <w:p>
      <w:pPr>
        <w:jc w:val="left"/>
      </w:pPr>
      <w:r>
        <w:rPr>
          <w:rFonts w:ascii="等线" w:hAnsi="等线" w:eastAsia="等线"/>
          <w:b w:val="0"/>
          <w:sz w:val="21"/>
        </w:rPr>
        <w:t>5. 还荣获本国政府</w:t>
      </w:r>
      <w:r>
        <w:rPr>
          <w:rFonts w:ascii="等线" w:hAnsi="等线" w:eastAsia="等线"/>
          <w:b w:val="0"/>
          <w:sz w:val="21"/>
          <w:highlight w:val="yellow"/>
        </w:rPr>
        <w:t>[具体部门]</w:t>
      </w:r>
      <w:r>
        <w:rPr>
          <w:rFonts w:ascii="等线" w:hAnsi="等线" w:eastAsia="等线"/>
          <w:b w:val="0"/>
          <w:sz w:val="21"/>
        </w:rPr>
        <w:t>颁发的“社会责任优秀企业”奖项。在社会责任履行方面，本银行在教育扶贫领域投入资金</w:t>
      </w:r>
      <w:r>
        <w:rPr>
          <w:rFonts w:ascii="等线" w:hAnsi="等线" w:eastAsia="等线"/>
          <w:b w:val="0"/>
          <w:sz w:val="21"/>
          <w:highlight w:val="yellow"/>
        </w:rPr>
        <w:t>[X]</w:t>
      </w:r>
      <w:r>
        <w:rPr>
          <w:rFonts w:ascii="等线" w:hAnsi="等线" w:eastAsia="等线"/>
          <w:b w:val="0"/>
          <w:sz w:val="21"/>
        </w:rPr>
        <w:t>万元，援建了</w:t>
      </w:r>
      <w:r>
        <w:rPr>
          <w:rFonts w:ascii="等线" w:hAnsi="等线" w:eastAsia="等线"/>
          <w:b w:val="0"/>
          <w:sz w:val="21"/>
          <w:highlight w:val="yellow"/>
        </w:rPr>
        <w:t>[X]</w:t>
      </w:r>
      <w:r>
        <w:rPr>
          <w:rFonts w:ascii="等线" w:hAnsi="等线" w:eastAsia="等线"/>
          <w:b w:val="0"/>
          <w:sz w:val="21"/>
        </w:rPr>
        <w:t>所希望小学，为贫困地区的</w:t>
      </w:r>
      <w:r>
        <w:rPr>
          <w:rFonts w:ascii="等线" w:hAnsi="等线" w:eastAsia="等线"/>
          <w:b w:val="0"/>
          <w:sz w:val="21"/>
          <w:highlight w:val="yellow"/>
        </w:rPr>
        <w:t>[X]</w:t>
      </w:r>
      <w:r>
        <w:rPr>
          <w:rFonts w:ascii="等线" w:hAnsi="等线" w:eastAsia="等线"/>
          <w:b w:val="0"/>
          <w:sz w:val="21"/>
        </w:rPr>
        <w:t>名学生提供了教育资助；在社区发展方面，本银行组织员工志愿者活动</w:t>
      </w:r>
      <w:r>
        <w:rPr>
          <w:rFonts w:ascii="等线" w:hAnsi="等线" w:eastAsia="等线"/>
          <w:b w:val="0"/>
          <w:sz w:val="21"/>
          <w:highlight w:val="yellow"/>
        </w:rPr>
        <w:t>[X]</w:t>
      </w:r>
      <w:r>
        <w:rPr>
          <w:rFonts w:ascii="等线" w:hAnsi="等线" w:eastAsia="等线"/>
          <w:b w:val="0"/>
          <w:sz w:val="21"/>
        </w:rPr>
        <w:t>次，累计志愿服务时长达到</w:t>
      </w:r>
      <w:r>
        <w:rPr>
          <w:rFonts w:ascii="等线" w:hAnsi="等线" w:eastAsia="等线"/>
          <w:b w:val="0"/>
          <w:sz w:val="21"/>
          <w:highlight w:val="yellow"/>
        </w:rPr>
        <w:t>[X]</w:t>
      </w:r>
      <w:r>
        <w:rPr>
          <w:rFonts w:ascii="等线" w:hAnsi="等线" w:eastAsia="等线"/>
          <w:b w:val="0"/>
          <w:sz w:val="21"/>
        </w:rPr>
        <w:t>小时，为社区的环境改善、文化建设等做出了积极贡献。</w:t>
      </w:r>
    </w:p>
    <w:p>
      <w:pPr>
        <w:jc w:val="left"/>
      </w:pPr>
      <w:r>
        <w:rPr>
          <w:rFonts w:ascii="等线" w:hAnsi="等线" w:eastAsia="等线"/>
          <w:b w:val="0"/>
          <w:sz w:val="21"/>
        </w:rPr>
        <w:t>6. 国际行业协会荣誉</w:t>
      </w:r>
    </w:p>
    <w:p>
      <w:pPr>
        <w:jc w:val="left"/>
      </w:pPr>
      <w:r>
        <w:rPr>
          <w:rFonts w:ascii="等线" w:hAnsi="等线" w:eastAsia="等线"/>
          <w:b w:val="0"/>
          <w:sz w:val="21"/>
        </w:rPr>
        <w:t>7. 被国际银行业联合会（IBFed）评为“可持续发展最佳实践银行”。本银行在国际银行业界在可持续发展治理结构方面树立了典范。我们建立了专门的ESG委员会，由</w:t>
      </w:r>
      <w:r>
        <w:rPr>
          <w:rFonts w:ascii="等线" w:hAnsi="等线" w:eastAsia="等线"/>
          <w:b w:val="0"/>
          <w:sz w:val="21"/>
          <w:highlight w:val="yellow"/>
        </w:rPr>
        <w:t>[X]</w:t>
      </w:r>
      <w:r>
        <w:rPr>
          <w:rFonts w:ascii="等线" w:hAnsi="等线" w:eastAsia="等线"/>
          <w:b w:val="0"/>
          <w:sz w:val="21"/>
        </w:rPr>
        <w:t>名成员组成，其中外部专家占比</w:t>
      </w:r>
      <w:r>
        <w:rPr>
          <w:rFonts w:ascii="等线" w:hAnsi="等线" w:eastAsia="等线"/>
          <w:b w:val="0"/>
          <w:sz w:val="21"/>
          <w:highlight w:val="yellow"/>
        </w:rPr>
        <w:t>[X]</w:t>
      </w:r>
      <w:r>
        <w:rPr>
          <w:rFonts w:ascii="等线" w:hAnsi="等线" w:eastAsia="等线"/>
          <w:b w:val="0"/>
          <w:sz w:val="21"/>
        </w:rPr>
        <w:t>%。该委员会定期对银行的ESG战略、政策和绩效进行审查和监督，确保银行在国际业务中始终遵循可持续发展原则。在国际业务中，我们为</w:t>
      </w:r>
      <w:r>
        <w:rPr>
          <w:rFonts w:ascii="等线" w:hAnsi="等线" w:eastAsia="等线"/>
          <w:b w:val="0"/>
          <w:sz w:val="21"/>
          <w:highlight w:val="yellow"/>
        </w:rPr>
        <w:t>[X]</w:t>
      </w:r>
      <w:r>
        <w:rPr>
          <w:rFonts w:ascii="等线" w:hAnsi="等线" w:eastAsia="等线"/>
          <w:b w:val="0"/>
          <w:sz w:val="21"/>
        </w:rPr>
        <w:t>个国家的可持续发展项目提供了金融支持，涉及项目总金额达</w:t>
      </w:r>
      <w:r>
        <w:rPr>
          <w:rFonts w:ascii="等线" w:hAnsi="等线" w:eastAsia="等线"/>
          <w:b w:val="0"/>
          <w:sz w:val="21"/>
          <w:highlight w:val="yellow"/>
        </w:rPr>
        <w:t>[X]</w:t>
      </w:r>
      <w:r>
        <w:rPr>
          <w:rFonts w:ascii="等线" w:hAnsi="等线" w:eastAsia="等线"/>
          <w:b w:val="0"/>
          <w:sz w:val="21"/>
        </w:rPr>
        <w:t>亿美元。</w:t>
      </w:r>
    </w:p>
    <w:p>
      <w:r>
        <w:br w:type="page"/>
      </w:r>
    </w:p>
    <w:p>
      <w:pPr>
        <w:pStyle w:val="Heading1"/>
      </w:pPr>
      <w:r>
        <w:rPr>
          <w:rFonts w:ascii="等线" w:hAnsi="等线" w:eastAsia="等线"/>
          <w:color w:val="000000"/>
          <w:sz w:val="44"/>
        </w:rPr>
        <w:t>业务模式与价值链</w:t>
      </w:r>
    </w:p>
    <w:p>
      <w:pPr>
        <w:jc w:val="left"/>
      </w:pPr>
      <w:r>
        <w:rPr>
          <w:rFonts w:ascii="等线" w:hAnsi="等线" w:eastAsia="等线"/>
          <w:b w:val="0"/>
          <w:sz w:val="21"/>
        </w:rPr>
        <w:t>一、商业模式</w:t>
      </w:r>
    </w:p>
    <w:p>
      <w:pPr>
        <w:jc w:val="left"/>
      </w:pPr>
      <w:r>
        <w:rPr>
          <w:rFonts w:ascii="等线" w:hAnsi="等线" w:eastAsia="等线"/>
          <w:b w:val="0"/>
          <w:sz w:val="21"/>
        </w:rPr>
        <w:t>大型国有银行业企业的商业模式围绕着金融服务的提供展开。</w:t>
      </w:r>
    </w:p>
    <w:p>
      <w:pPr>
        <w:jc w:val="left"/>
      </w:pPr>
      <w:r>
        <w:rPr>
          <w:rFonts w:ascii="等线" w:hAnsi="等线" w:eastAsia="等线"/>
          <w:b w:val="0"/>
          <w:sz w:val="21"/>
        </w:rPr>
        <w:t>（一）资源投入1.资金资源- 初始资金来源于储户存款、股东权益等。例如，储户存款规模达到</w:t>
      </w:r>
      <w:r>
        <w:rPr>
          <w:rFonts w:ascii="等线" w:hAnsi="等线" w:eastAsia="等线"/>
          <w:b w:val="0"/>
          <w:sz w:val="21"/>
          <w:highlight w:val="yellow"/>
        </w:rPr>
        <w:t>[X]</w:t>
      </w:r>
      <w:r>
        <w:rPr>
          <w:rFonts w:ascii="等线" w:hAnsi="等线" w:eastAsia="等线"/>
          <w:b w:val="0"/>
          <w:sz w:val="21"/>
        </w:rPr>
        <w:t>亿美元，股东权益为</w:t>
      </w:r>
      <w:r>
        <w:rPr>
          <w:rFonts w:ascii="等线" w:hAnsi="等线" w:eastAsia="等线"/>
          <w:b w:val="0"/>
          <w:sz w:val="21"/>
          <w:highlight w:val="yellow"/>
        </w:rPr>
        <w:t>[Y]</w:t>
      </w:r>
      <w:r>
        <w:rPr>
          <w:rFonts w:ascii="等线" w:hAnsi="等线" w:eastAsia="等线"/>
          <w:b w:val="0"/>
          <w:sz w:val="21"/>
        </w:rPr>
        <w:t>亿美元。这些资金构成了银行开展业务的基础。2.人力资源- 雇佣大量专业金融人才，包括信贷专家、风险管理师、金融分析师等。员工总数达到</w:t>
      </w:r>
      <w:r>
        <w:rPr>
          <w:rFonts w:ascii="等线" w:hAnsi="等线" w:eastAsia="等线"/>
          <w:b w:val="0"/>
          <w:sz w:val="21"/>
          <w:highlight w:val="yellow"/>
        </w:rPr>
        <w:t>[Z]</w:t>
      </w:r>
      <w:r>
        <w:rPr>
          <w:rFonts w:ascii="等线" w:hAnsi="等线" w:eastAsia="等线"/>
          <w:b w:val="0"/>
          <w:sz w:val="21"/>
        </w:rPr>
        <w:t>人，其中具有高级金融从业资格的人员占比</w:t>
      </w:r>
      <w:r>
        <w:rPr>
          <w:rFonts w:ascii="等线" w:hAnsi="等线" w:eastAsia="等线"/>
          <w:b w:val="0"/>
          <w:sz w:val="21"/>
          <w:highlight w:val="yellow"/>
        </w:rPr>
        <w:t>[P]</w:t>
      </w:r>
      <w:r>
        <w:rPr>
          <w:rFonts w:ascii="等线" w:hAnsi="等线" w:eastAsia="等线"/>
          <w:b w:val="0"/>
          <w:sz w:val="21"/>
        </w:rPr>
        <w:t>%。3.技术资源- 投入大量资金用于金融科技研发，每年研发费用约为</w:t>
      </w:r>
      <w:r>
        <w:rPr>
          <w:rFonts w:ascii="等线" w:hAnsi="等线" w:eastAsia="等线"/>
          <w:b w:val="0"/>
          <w:sz w:val="21"/>
          <w:highlight w:val="yellow"/>
        </w:rPr>
        <w:t>[Q]</w:t>
      </w:r>
      <w:r>
        <w:rPr>
          <w:rFonts w:ascii="等线" w:hAnsi="等线" w:eastAsia="等线"/>
          <w:b w:val="0"/>
          <w:sz w:val="21"/>
        </w:rPr>
        <w:t>百万美元。采用先进的信息技术系统，如核心银行系统、风险管理系统等，以保障业务运营的高效性和安全性。</w:t>
      </w:r>
    </w:p>
    <w:p>
      <w:pPr>
        <w:jc w:val="left"/>
      </w:pPr>
      <w:r>
        <w:rPr>
          <w:rFonts w:ascii="等线" w:hAnsi="等线" w:eastAsia="等线"/>
          <w:b w:val="0"/>
          <w:sz w:val="21"/>
        </w:rPr>
        <w:t>（二）价值创造与用户群体1.对个人用户的价值- 为个人储户提供储蓄、理财等服务。通过提供有竞争力的储蓄利率（平均储蓄利率为</w:t>
      </w:r>
      <w:r>
        <w:rPr>
          <w:rFonts w:ascii="等线" w:hAnsi="等线" w:eastAsia="等线"/>
          <w:b w:val="0"/>
          <w:sz w:val="21"/>
          <w:highlight w:val="yellow"/>
        </w:rPr>
        <w:t>[R]</w:t>
      </w:r>
      <w:r>
        <w:rPr>
          <w:rFonts w:ascii="等线" w:hAnsi="等线" w:eastAsia="等线"/>
          <w:b w:val="0"/>
          <w:sz w:val="21"/>
        </w:rPr>
        <w:t>%），保障个人财富的保值增值。同时，提供便捷的网上银行和手机银行服务，个人网上银行用户数量达到</w:t>
      </w:r>
      <w:r>
        <w:rPr>
          <w:rFonts w:ascii="等线" w:hAnsi="等线" w:eastAsia="等线"/>
          <w:b w:val="0"/>
          <w:sz w:val="21"/>
          <w:highlight w:val="yellow"/>
        </w:rPr>
        <w:t>[M]</w:t>
      </w:r>
      <w:r>
        <w:rPr>
          <w:rFonts w:ascii="等线" w:hAnsi="等线" w:eastAsia="等线"/>
          <w:b w:val="0"/>
          <w:sz w:val="21"/>
        </w:rPr>
        <w:t>万人，手机银行用户活跃度达到</w:t>
      </w:r>
      <w:r>
        <w:rPr>
          <w:rFonts w:ascii="等线" w:hAnsi="等线" w:eastAsia="等线"/>
          <w:b w:val="0"/>
          <w:sz w:val="21"/>
          <w:highlight w:val="yellow"/>
        </w:rPr>
        <w:t>[N]</w:t>
      </w:r>
      <w:r>
        <w:rPr>
          <w:rFonts w:ascii="等线" w:hAnsi="等线" w:eastAsia="等线"/>
          <w:b w:val="0"/>
          <w:sz w:val="21"/>
        </w:rPr>
        <w:t>%。2.对企业用户的价值- 为企业提供融资服务，包括贷款、债券发行等。每年为企业提供的贷款总额达到</w:t>
      </w:r>
      <w:r>
        <w:rPr>
          <w:rFonts w:ascii="等线" w:hAnsi="等线" w:eastAsia="等线"/>
          <w:b w:val="0"/>
          <w:sz w:val="21"/>
          <w:highlight w:val="yellow"/>
        </w:rPr>
        <w:t>[L]</w:t>
      </w:r>
      <w:r>
        <w:rPr>
          <w:rFonts w:ascii="等线" w:hAnsi="等线" w:eastAsia="等线"/>
          <w:b w:val="0"/>
          <w:sz w:val="21"/>
        </w:rPr>
        <w:t>亿美元，帮助企业扩大生产规模、进行技术创新等。还为企业提供国际结算、贸易融资等服务，国际结算业务量达到</w:t>
      </w:r>
      <w:r>
        <w:rPr>
          <w:rFonts w:ascii="等线" w:hAnsi="等线" w:eastAsia="等线"/>
          <w:b w:val="0"/>
          <w:sz w:val="21"/>
          <w:highlight w:val="yellow"/>
        </w:rPr>
        <w:t>[K]</w:t>
      </w:r>
      <w:r>
        <w:rPr>
          <w:rFonts w:ascii="等线" w:hAnsi="等线" w:eastAsia="等线"/>
          <w:b w:val="0"/>
          <w:sz w:val="21"/>
        </w:rPr>
        <w:t>亿美元。3.对社会的价值- 在促进经济发展方面发挥重要作用。支持国家重点项目建设，对基础设施建设项目的融资支持占总融资规模的</w:t>
      </w:r>
      <w:r>
        <w:rPr>
          <w:rFonts w:ascii="等线" w:hAnsi="等线" w:eastAsia="等线"/>
          <w:b w:val="0"/>
          <w:sz w:val="21"/>
          <w:highlight w:val="yellow"/>
        </w:rPr>
        <w:t>[S]</w:t>
      </w:r>
      <w:r>
        <w:rPr>
          <w:rFonts w:ascii="等线" w:hAnsi="等线" w:eastAsia="等线"/>
          <w:b w:val="0"/>
          <w:sz w:val="21"/>
        </w:rPr>
        <w:t>%。同时，积极参与普惠金融，小微企业贷款余额达到</w:t>
      </w:r>
      <w:r>
        <w:rPr>
          <w:rFonts w:ascii="等线" w:hAnsi="等线" w:eastAsia="等线"/>
          <w:b w:val="0"/>
          <w:sz w:val="21"/>
          <w:highlight w:val="yellow"/>
        </w:rPr>
        <w:t>[U]</w:t>
      </w:r>
      <w:r>
        <w:rPr>
          <w:rFonts w:ascii="等线" w:hAnsi="等线" w:eastAsia="等线"/>
          <w:b w:val="0"/>
          <w:sz w:val="21"/>
        </w:rPr>
        <w:t>亿美元，服务的小微企业数量达到</w:t>
      </w:r>
      <w:r>
        <w:rPr>
          <w:rFonts w:ascii="等线" w:hAnsi="等线" w:eastAsia="等线"/>
          <w:b w:val="0"/>
          <w:sz w:val="21"/>
          <w:highlight w:val="yellow"/>
        </w:rPr>
        <w:t>[V]</w:t>
      </w:r>
      <w:r>
        <w:rPr>
          <w:rFonts w:ascii="等线" w:hAnsi="等线" w:eastAsia="等线"/>
          <w:b w:val="0"/>
          <w:sz w:val="21"/>
        </w:rPr>
        <w:t>万家。</w:t>
      </w:r>
    </w:p>
    <w:p>
      <w:pPr>
        <w:jc w:val="left"/>
      </w:pPr>
      <w:r>
        <w:rPr>
          <w:rFonts w:ascii="等线" w:hAnsi="等线" w:eastAsia="等线"/>
          <w:b w:val="0"/>
          <w:sz w:val="21"/>
        </w:rPr>
        <w:t>（三）现金流产生1.短期现金流- 主要来源于存贷款利差、手续费及佣金收入。例如，存贷款利差收入在短期现金流中的占比为</w:t>
      </w:r>
      <w:r>
        <w:rPr>
          <w:rFonts w:ascii="等线" w:hAnsi="等线" w:eastAsia="等线"/>
          <w:b w:val="0"/>
          <w:sz w:val="21"/>
          <w:highlight w:val="yellow"/>
        </w:rPr>
        <w:t>[W]</w:t>
      </w:r>
      <w:r>
        <w:rPr>
          <w:rFonts w:ascii="等线" w:hAnsi="等线" w:eastAsia="等线"/>
          <w:b w:val="0"/>
          <w:sz w:val="21"/>
        </w:rPr>
        <w:t>%，手续费及佣金收入占比为</w:t>
      </w:r>
      <w:r>
        <w:rPr>
          <w:rFonts w:ascii="等线" w:hAnsi="等线" w:eastAsia="等线"/>
          <w:b w:val="0"/>
          <w:sz w:val="21"/>
          <w:highlight w:val="yellow"/>
        </w:rPr>
        <w:t>[X1]</w:t>
      </w:r>
      <w:r>
        <w:rPr>
          <w:rFonts w:ascii="等线" w:hAnsi="等线" w:eastAsia="等线"/>
          <w:b w:val="0"/>
          <w:sz w:val="21"/>
        </w:rPr>
        <w:t>%。2.中期现金流- 随着贷款业务的逐步回收和理财业务的收益实现，中期现金流得以保障。中期内，贷款回收额预计为</w:t>
      </w:r>
      <w:r>
        <w:rPr>
          <w:rFonts w:ascii="等线" w:hAnsi="等线" w:eastAsia="等线"/>
          <w:b w:val="0"/>
          <w:sz w:val="21"/>
          <w:highlight w:val="yellow"/>
        </w:rPr>
        <w:t>[Y1]</w:t>
      </w:r>
      <w:r>
        <w:rPr>
          <w:rFonts w:ascii="等线" w:hAnsi="等线" w:eastAsia="等线"/>
          <w:b w:val="0"/>
          <w:sz w:val="21"/>
        </w:rPr>
        <w:t>亿美元，理财业务收益为</w:t>
      </w:r>
      <w:r>
        <w:rPr>
          <w:rFonts w:ascii="等线" w:hAnsi="等线" w:eastAsia="等线"/>
          <w:b w:val="0"/>
          <w:sz w:val="21"/>
          <w:highlight w:val="yellow"/>
        </w:rPr>
        <w:t>[Z1]</w:t>
      </w:r>
      <w:r>
        <w:rPr>
          <w:rFonts w:ascii="等线" w:hAnsi="等线" w:eastAsia="等线"/>
          <w:b w:val="0"/>
          <w:sz w:val="21"/>
        </w:rPr>
        <w:t>百万美元。3.长期现金流- 通过长期的客户关系维护和业务拓展，如持续为大型企业提供长期融资服务、开拓国际金融市场业务等。长期内，国际业务收入有望以</w:t>
      </w:r>
      <w:r>
        <w:rPr>
          <w:rFonts w:ascii="等线" w:hAnsi="等线" w:eastAsia="等线"/>
          <w:b w:val="0"/>
          <w:sz w:val="21"/>
          <w:highlight w:val="yellow"/>
        </w:rPr>
        <w:t>[G]</w:t>
      </w:r>
      <w:r>
        <w:rPr>
          <w:rFonts w:ascii="等线" w:hAnsi="等线" w:eastAsia="等线"/>
          <w:b w:val="0"/>
          <w:sz w:val="21"/>
        </w:rPr>
        <w:t>%的年增长率增长，从而产生稳定的长期现金流。</w:t>
      </w:r>
    </w:p>
    <w:p>
      <w:pPr>
        <w:jc w:val="left"/>
      </w:pPr>
      <w:r>
        <w:rPr>
          <w:rFonts w:ascii="等线" w:hAnsi="等线" w:eastAsia="等线"/>
          <w:b w:val="0"/>
          <w:sz w:val="21"/>
        </w:rPr>
        <w:t>二、价值链</w:t>
      </w:r>
    </w:p>
    <w:p>
      <w:pPr>
        <w:jc w:val="left"/>
      </w:pPr>
      <w:r>
        <w:rPr>
          <w:rFonts w:ascii="等线" w:hAnsi="等线" w:eastAsia="等线"/>
          <w:b w:val="0"/>
          <w:sz w:val="21"/>
        </w:rPr>
        <w:t>（一）上游供应商1.金融科技供应商- 与多家国际知名的金融科技公司合作，如</w:t>
      </w:r>
      <w:r>
        <w:rPr>
          <w:rFonts w:ascii="等线" w:hAnsi="等线" w:eastAsia="等线"/>
          <w:b w:val="0"/>
          <w:sz w:val="21"/>
          <w:highlight w:val="yellow"/>
        </w:rPr>
        <w:t>[科技公司名称1]</w:t>
      </w:r>
      <w:r>
        <w:rPr>
          <w:rFonts w:ascii="等线" w:hAnsi="等线" w:eastAsia="等线"/>
          <w:b w:val="0"/>
          <w:sz w:val="21"/>
        </w:rPr>
        <w:t>、</w:t>
      </w:r>
      <w:r>
        <w:rPr>
          <w:rFonts w:ascii="等线" w:hAnsi="等线" w:eastAsia="等线"/>
          <w:b w:val="0"/>
          <w:sz w:val="21"/>
          <w:highlight w:val="yellow"/>
        </w:rPr>
        <w:t>[科技公司名称2]</w:t>
      </w:r>
      <w:r>
        <w:rPr>
          <w:rFonts w:ascii="等线" w:hAnsi="等线" w:eastAsia="等线"/>
          <w:b w:val="0"/>
          <w:sz w:val="21"/>
        </w:rPr>
        <w:t>等。这些供应商为银行提供先进的支付技术、数据分析工具等。每年从金融科技供应商的采购额约为</w:t>
      </w:r>
      <w:r>
        <w:rPr>
          <w:rFonts w:ascii="等线" w:hAnsi="等线" w:eastAsia="等线"/>
          <w:b w:val="0"/>
          <w:sz w:val="21"/>
          <w:highlight w:val="yellow"/>
        </w:rPr>
        <w:t>[H]</w:t>
      </w:r>
      <w:r>
        <w:rPr>
          <w:rFonts w:ascii="等线" w:hAnsi="等线" w:eastAsia="等线"/>
          <w:b w:val="0"/>
          <w:sz w:val="21"/>
        </w:rPr>
        <w:t>百万美元。2.办公设备与服务供应商- 包括办公家具、电脑设备等供应商，以及物业管理、安保服务等供应商。办公设备采购额每年约为</w:t>
      </w:r>
      <w:r>
        <w:rPr>
          <w:rFonts w:ascii="等线" w:hAnsi="等线" w:eastAsia="等线"/>
          <w:b w:val="0"/>
          <w:sz w:val="21"/>
          <w:highlight w:val="yellow"/>
        </w:rPr>
        <w:t>[I]</w:t>
      </w:r>
      <w:r>
        <w:rPr>
          <w:rFonts w:ascii="等线" w:hAnsi="等线" w:eastAsia="等线"/>
          <w:b w:val="0"/>
          <w:sz w:val="21"/>
        </w:rPr>
        <w:t>百万美元，物业服务费用每年为</w:t>
      </w:r>
      <w:r>
        <w:rPr>
          <w:rFonts w:ascii="等线" w:hAnsi="等线" w:eastAsia="等线"/>
          <w:b w:val="0"/>
          <w:sz w:val="21"/>
          <w:highlight w:val="yellow"/>
        </w:rPr>
        <w:t>[J]</w:t>
      </w:r>
      <w:r>
        <w:rPr>
          <w:rFonts w:ascii="等线" w:hAnsi="等线" w:eastAsia="等线"/>
          <w:b w:val="0"/>
          <w:sz w:val="21"/>
        </w:rPr>
        <w:t>百万美元。</w:t>
      </w:r>
    </w:p>
    <w:p>
      <w:pPr>
        <w:jc w:val="left"/>
      </w:pPr>
      <w:r>
        <w:rPr>
          <w:rFonts w:ascii="等线" w:hAnsi="等线" w:eastAsia="等线"/>
          <w:b w:val="0"/>
          <w:sz w:val="21"/>
        </w:rPr>
        <w:t>（二）下游客户1.个人客户- 包括不同收入水平和年龄层次的个人储户和借款人。如高净值个人客户数量达到</w:t>
      </w:r>
      <w:r>
        <w:rPr>
          <w:rFonts w:ascii="等线" w:hAnsi="等线" w:eastAsia="等线"/>
          <w:b w:val="0"/>
          <w:sz w:val="21"/>
          <w:highlight w:val="yellow"/>
        </w:rPr>
        <w:t>[D]</w:t>
      </w:r>
      <w:r>
        <w:rPr>
          <w:rFonts w:ascii="等线" w:hAnsi="等线" w:eastAsia="等线"/>
          <w:b w:val="0"/>
          <w:sz w:val="21"/>
        </w:rPr>
        <w:t>万人，普通个人储户数量达到</w:t>
      </w:r>
      <w:r>
        <w:rPr>
          <w:rFonts w:ascii="等线" w:hAnsi="等线" w:eastAsia="等线"/>
          <w:b w:val="0"/>
          <w:sz w:val="21"/>
          <w:highlight w:val="yellow"/>
        </w:rPr>
        <w:t>[E]</w:t>
      </w:r>
      <w:r>
        <w:rPr>
          <w:rFonts w:ascii="等线" w:hAnsi="等线" w:eastAsia="等线"/>
          <w:b w:val="0"/>
          <w:sz w:val="21"/>
        </w:rPr>
        <w:t>百万人。2.企业客户- 涵盖大型国有企业、跨国公司、中小企业等。大型国有企业客户数量为</w:t>
      </w:r>
      <w:r>
        <w:rPr>
          <w:rFonts w:ascii="等线" w:hAnsi="等线" w:eastAsia="等线"/>
          <w:b w:val="0"/>
          <w:sz w:val="21"/>
          <w:highlight w:val="yellow"/>
        </w:rPr>
        <w:t>[F]</w:t>
      </w:r>
      <w:r>
        <w:rPr>
          <w:rFonts w:ascii="等线" w:hAnsi="等线" w:eastAsia="等线"/>
          <w:b w:val="0"/>
          <w:sz w:val="21"/>
        </w:rPr>
        <w:t>家，跨国公司客户数量为</w:t>
      </w:r>
      <w:r>
        <w:rPr>
          <w:rFonts w:ascii="等线" w:hAnsi="等线" w:eastAsia="等线"/>
          <w:b w:val="0"/>
          <w:sz w:val="21"/>
          <w:highlight w:val="yellow"/>
        </w:rPr>
        <w:t>[G1]</w:t>
      </w:r>
      <w:r>
        <w:rPr>
          <w:rFonts w:ascii="等线" w:hAnsi="等线" w:eastAsia="等线"/>
          <w:b w:val="0"/>
          <w:sz w:val="21"/>
        </w:rPr>
        <w:t>家，中小企业客户数量达到</w:t>
      </w:r>
      <w:r>
        <w:rPr>
          <w:rFonts w:ascii="等线" w:hAnsi="等线" w:eastAsia="等线"/>
          <w:b w:val="0"/>
          <w:sz w:val="21"/>
          <w:highlight w:val="yellow"/>
        </w:rPr>
        <w:t>[H1]</w:t>
      </w:r>
      <w:r>
        <w:rPr>
          <w:rFonts w:ascii="等线" w:hAnsi="等线" w:eastAsia="等线"/>
          <w:b w:val="0"/>
          <w:sz w:val="21"/>
        </w:rPr>
        <w:t>万家。3.政府机构- 为地方政府和国家政府提供财政资金管理、国债发行等服务。与</w:t>
      </w:r>
      <w:r>
        <w:rPr>
          <w:rFonts w:ascii="等线" w:hAnsi="等线" w:eastAsia="等线"/>
          <w:b w:val="0"/>
          <w:sz w:val="21"/>
          <w:highlight w:val="yellow"/>
        </w:rPr>
        <w:t>[X]</w:t>
      </w:r>
      <w:r>
        <w:rPr>
          <w:rFonts w:ascii="等线" w:hAnsi="等线" w:eastAsia="等线"/>
          <w:b w:val="0"/>
          <w:sz w:val="21"/>
        </w:rPr>
        <w:t>个地方政府机构和</w:t>
      </w:r>
      <w:r>
        <w:rPr>
          <w:rFonts w:ascii="等线" w:hAnsi="等线" w:eastAsia="等线"/>
          <w:b w:val="0"/>
          <w:sz w:val="21"/>
          <w:highlight w:val="yellow"/>
        </w:rPr>
        <w:t>[Y]</w:t>
      </w:r>
      <w:r>
        <w:rPr>
          <w:rFonts w:ascii="等线" w:hAnsi="等线" w:eastAsia="等线"/>
          <w:b w:val="0"/>
          <w:sz w:val="21"/>
        </w:rPr>
        <w:t>个国家政府部门有合作关系。</w:t>
      </w:r>
    </w:p>
    <w:p>
      <w:pPr>
        <w:jc w:val="left"/>
      </w:pPr>
      <w:r>
        <w:rPr>
          <w:rFonts w:ascii="等线" w:hAnsi="等线" w:eastAsia="等线"/>
          <w:b w:val="0"/>
          <w:sz w:val="21"/>
        </w:rPr>
        <w:t>（三）重要资源提供者与竞争者1.重要资源提供者- 中央银行是重要的资金和政策资源提供者。银行根据中央银行的货币政策调整自身的存贷款利率和信贷规模。2.竞争者- 在国际市场上，面临着其他国际大型银行（如</w:t>
      </w:r>
      <w:r>
        <w:rPr>
          <w:rFonts w:ascii="等线" w:hAnsi="等线" w:eastAsia="等线"/>
          <w:b w:val="0"/>
          <w:sz w:val="21"/>
          <w:highlight w:val="yellow"/>
        </w:rPr>
        <w:t>[国际银行名称1]</w:t>
      </w:r>
      <w:r>
        <w:rPr>
          <w:rFonts w:ascii="等线" w:hAnsi="等线" w:eastAsia="等线"/>
          <w:b w:val="0"/>
          <w:sz w:val="21"/>
        </w:rPr>
        <w:t>、</w:t>
      </w:r>
      <w:r>
        <w:rPr>
          <w:rFonts w:ascii="等线" w:hAnsi="等线" w:eastAsia="等线"/>
          <w:b w:val="0"/>
          <w:sz w:val="21"/>
          <w:highlight w:val="yellow"/>
        </w:rPr>
        <w:t>[国际银行名称2]</w:t>
      </w:r>
      <w:r>
        <w:rPr>
          <w:rFonts w:ascii="等线" w:hAnsi="等线" w:eastAsia="等线"/>
          <w:b w:val="0"/>
          <w:sz w:val="21"/>
        </w:rPr>
        <w:t>等）的竞争。在国内市场，也与股份制银行、城市商业银行等存在竞争关系。市场份额方面，与主要竞争者相比，本银行在国内市场的存款市场份额为</w:t>
      </w:r>
      <w:r>
        <w:rPr>
          <w:rFonts w:ascii="等线" w:hAnsi="等线" w:eastAsia="等线"/>
          <w:b w:val="0"/>
          <w:sz w:val="21"/>
          <w:highlight w:val="yellow"/>
        </w:rPr>
        <w:t>[Q1]</w:t>
      </w:r>
      <w:r>
        <w:rPr>
          <w:rFonts w:ascii="等线" w:hAnsi="等线" w:eastAsia="等线"/>
          <w:b w:val="0"/>
          <w:sz w:val="21"/>
        </w:rPr>
        <w:t>%，贷款市场份额为</w:t>
      </w:r>
      <w:r>
        <w:rPr>
          <w:rFonts w:ascii="等线" w:hAnsi="等线" w:eastAsia="等线"/>
          <w:b w:val="0"/>
          <w:sz w:val="21"/>
          <w:highlight w:val="yellow"/>
        </w:rPr>
        <w:t>[R1]</w:t>
      </w:r>
      <w:r>
        <w:rPr>
          <w:rFonts w:ascii="等线" w:hAnsi="等线" w:eastAsia="等线"/>
          <w:b w:val="0"/>
          <w:sz w:val="21"/>
        </w:rPr>
        <w:t>%。</w:t>
      </w:r>
    </w:p>
    <w:p>
      <w:r>
        <w:br w:type="page"/>
      </w:r>
    </w:p>
    <w:p>
      <w:pPr>
        <w:pStyle w:val="Heading1"/>
      </w:pPr>
      <w:r>
        <w:rPr>
          <w:rFonts w:ascii="等线" w:hAnsi="等线" w:eastAsia="等线"/>
          <w:color w:val="000000"/>
          <w:sz w:val="44"/>
        </w:rPr>
        <w:t>实质性议题分析</w:t>
      </w:r>
    </w:p>
    <w:p>
      <w:pPr>
        <w:jc w:val="left"/>
      </w:pPr>
      <w:r>
        <w:rPr>
          <w:rFonts w:ascii="等线" w:hAnsi="等线" w:eastAsia="等线"/>
          <w:b w:val="0"/>
          <w:sz w:val="21"/>
        </w:rPr>
        <w:t>以下是一个面向国际市场的大型国有银行业企业ESG报告中实质性议题分析的内容模板：</w:t>
      </w:r>
    </w:p>
    <w:p>
      <w:pPr>
        <w:jc w:val="left"/>
      </w:pPr>
      <w:r>
        <w:rPr>
          <w:rFonts w:ascii="等线" w:hAnsi="等线" w:eastAsia="等线"/>
          <w:b w:val="0"/>
          <w:sz w:val="21"/>
        </w:rPr>
        <w:t>一、实质性议题分析的流程步骤</w:t>
      </w:r>
    </w:p>
    <w:p>
      <w:pPr>
        <w:jc w:val="left"/>
      </w:pPr>
      <w:r>
        <w:rPr>
          <w:rFonts w:ascii="等线" w:hAnsi="等线" w:eastAsia="等线"/>
          <w:b w:val="0"/>
          <w:sz w:val="21"/>
        </w:rPr>
        <w:t>1. 企业背景分析</w:t>
      </w:r>
    </w:p>
    <w:p>
      <w:pPr>
        <w:jc w:val="left"/>
      </w:pPr>
      <w:r>
        <w:rPr>
          <w:rFonts w:ascii="等线" w:hAnsi="等线" w:eastAsia="等线"/>
          <w:b w:val="0"/>
          <w:sz w:val="21"/>
        </w:rPr>
        <w:t>2. 业务模式：本银行主要业务包括零售银行业务（如储蓄、贷款、信用卡等）、公司银行业务（为企业提供融资、资金管理等服务）以及金融市场业务（债券、外汇等交易）。零售业务涉及广泛的客户群体，从个人储户到中小企业主。公司业务与众多国内外企业建立合作关系，在企业的发展、投资和扩张过程中提供资金支持。金融市场业务则在国际金融市场中参与利率、汇率等风险管理和投资活动。</w:t>
      </w:r>
    </w:p>
    <w:p>
      <w:pPr>
        <w:jc w:val="left"/>
      </w:pPr>
      <w:r>
        <w:rPr>
          <w:rFonts w:ascii="等线" w:hAnsi="等线" w:eastAsia="等线"/>
          <w:b w:val="0"/>
          <w:sz w:val="21"/>
        </w:rPr>
        <w:t>3. 价值链分析：</w:t>
      </w:r>
    </w:p>
    <w:p>
      <w:pPr>
        <w:ind w:left="480"/>
        <w:jc w:val="left"/>
      </w:pPr>
      <w:r>
        <w:rPr>
          <w:rFonts w:ascii="等线" w:hAnsi="等线" w:eastAsia="等线"/>
          <w:b w:val="0"/>
          <w:sz w:val="21"/>
        </w:rPr>
        <w:t>◦ 上游：与资金提供者（如储户、投资者）建立信任关系，确保资金来源的稳定。依赖信息技术供应商提供安全、高效的银行系统支持，包括核心业务系统、网上银行平台等。</w:t>
      </w:r>
    </w:p>
    <w:p>
      <w:pPr>
        <w:ind w:left="480"/>
        <w:jc w:val="left"/>
      </w:pPr>
      <w:r>
        <w:rPr>
          <w:rFonts w:ascii="等线" w:hAnsi="等线" w:eastAsia="等线"/>
          <w:b w:val="0"/>
          <w:sz w:val="21"/>
        </w:rPr>
        <w:t>◦ 内部运营：通过风险管理部门对各类风险（信用风险、市场风险、操作风险等）进行管控。人力资源部门负责员工的招聘、培训和发展，以提供优质的金融服务。</w:t>
      </w:r>
    </w:p>
    <w:p>
      <w:pPr>
        <w:ind w:left="480"/>
        <w:jc w:val="left"/>
      </w:pPr>
      <w:r>
        <w:rPr>
          <w:rFonts w:ascii="等线" w:hAnsi="等线" w:eastAsia="等线"/>
          <w:b w:val="0"/>
          <w:sz w:val="21"/>
        </w:rPr>
        <w:t>◦ 下游：为客户提供多样化的金融产品和服务，满足其资金需求、理财需求等。同时，与监管机构保持密切沟通，确保合规运营。</w:t>
      </w:r>
    </w:p>
    <w:p>
      <w:pPr>
        <w:jc w:val="left"/>
      </w:pPr>
      <w:r>
        <w:rPr>
          <w:rFonts w:ascii="等线" w:hAnsi="等线" w:eastAsia="等线"/>
          <w:b w:val="0"/>
          <w:sz w:val="21"/>
        </w:rPr>
        <w:t>4. 识别实际和潜在的影响</w:t>
      </w:r>
    </w:p>
    <w:p>
      <w:pPr>
        <w:jc w:val="left"/>
      </w:pPr>
      <w:r>
        <w:rPr>
          <w:rFonts w:ascii="等线" w:hAnsi="等线" w:eastAsia="等线"/>
          <w:b w:val="0"/>
          <w:sz w:val="21"/>
        </w:rPr>
        <w:t>5. 正面影响：</w:t>
      </w:r>
    </w:p>
    <w:p>
      <w:pPr>
        <w:ind w:left="480"/>
        <w:jc w:val="left"/>
      </w:pPr>
      <w:r>
        <w:rPr>
          <w:rFonts w:ascii="等线" w:hAnsi="等线" w:eastAsia="等线"/>
          <w:b w:val="0"/>
          <w:sz w:val="21"/>
        </w:rPr>
        <w:t>◦ 通过为企业提供融资，促进实体经济发展。例如，每年为中小企业提供的贷款金额达到</w:t>
      </w:r>
      <w:r>
        <w:rPr>
          <w:rFonts w:ascii="等线" w:hAnsi="等线" w:eastAsia="等线"/>
          <w:b w:val="0"/>
          <w:sz w:val="21"/>
          <w:highlight w:val="yellow"/>
        </w:rPr>
        <w:t>[X]</w:t>
      </w:r>
      <w:r>
        <w:rPr>
          <w:rFonts w:ascii="等线" w:hAnsi="等线" w:eastAsia="等线"/>
          <w:b w:val="0"/>
          <w:sz w:val="21"/>
        </w:rPr>
        <w:t>亿美元，帮助</w:t>
      </w:r>
      <w:r>
        <w:rPr>
          <w:rFonts w:ascii="等线" w:hAnsi="等线" w:eastAsia="等线"/>
          <w:b w:val="0"/>
          <w:sz w:val="21"/>
          <w:highlight w:val="yellow"/>
        </w:rPr>
        <w:t>[X]</w:t>
      </w:r>
      <w:r>
        <w:rPr>
          <w:rFonts w:ascii="等线" w:hAnsi="等线" w:eastAsia="等线"/>
          <w:b w:val="0"/>
          <w:sz w:val="21"/>
        </w:rPr>
        <w:t>家中小企业扩大生产规模或进行技术创新，创造了约</w:t>
      </w:r>
      <w:r>
        <w:rPr>
          <w:rFonts w:ascii="等线" w:hAnsi="等线" w:eastAsia="等线"/>
          <w:b w:val="0"/>
          <w:sz w:val="21"/>
          <w:highlight w:val="yellow"/>
        </w:rPr>
        <w:t>[X]</w:t>
      </w:r>
      <w:r>
        <w:rPr>
          <w:rFonts w:ascii="等线" w:hAnsi="等线" w:eastAsia="等线"/>
          <w:b w:val="0"/>
          <w:sz w:val="21"/>
        </w:rPr>
        <w:t>万个就业岗位。</w:t>
      </w:r>
    </w:p>
    <w:p>
      <w:pPr>
        <w:ind w:left="480"/>
        <w:jc w:val="left"/>
      </w:pPr>
      <w:r>
        <w:rPr>
          <w:rFonts w:ascii="等线" w:hAnsi="等线" w:eastAsia="等线"/>
          <w:b w:val="0"/>
          <w:sz w:val="21"/>
        </w:rPr>
        <w:t>◦ 在社区开展金融知识普及活动，每年覆盖</w:t>
      </w:r>
      <w:r>
        <w:rPr>
          <w:rFonts w:ascii="等线" w:hAnsi="等线" w:eastAsia="等线"/>
          <w:b w:val="0"/>
          <w:sz w:val="21"/>
          <w:highlight w:val="yellow"/>
        </w:rPr>
        <w:t>[X]</w:t>
      </w:r>
      <w:r>
        <w:rPr>
          <w:rFonts w:ascii="等线" w:hAnsi="等线" w:eastAsia="等线"/>
          <w:b w:val="0"/>
          <w:sz w:val="21"/>
        </w:rPr>
        <w:t>个社区，提高居民的金融素养，增强其理财和风险防范能力。</w:t>
      </w:r>
    </w:p>
    <w:p>
      <w:pPr>
        <w:jc w:val="left"/>
      </w:pPr>
      <w:r>
        <w:rPr>
          <w:rFonts w:ascii="等线" w:hAnsi="等线" w:eastAsia="等线"/>
          <w:b w:val="0"/>
          <w:sz w:val="21"/>
        </w:rPr>
        <w:t>6. 负面影响：</w:t>
      </w:r>
    </w:p>
    <w:p>
      <w:pPr>
        <w:ind w:left="480"/>
        <w:jc w:val="left"/>
      </w:pPr>
      <w:r>
        <w:rPr>
          <w:rFonts w:ascii="等线" w:hAnsi="等线" w:eastAsia="等线"/>
          <w:b w:val="0"/>
          <w:sz w:val="21"/>
        </w:rPr>
        <w:t>◦ 面临信用风险，如果贷款客户违约，可能导致银行资产损失。不良贷款率每上升1%，可能会减少银行净利润</w:t>
      </w:r>
      <w:r>
        <w:rPr>
          <w:rFonts w:ascii="等线" w:hAnsi="等线" w:eastAsia="等线"/>
          <w:b w:val="0"/>
          <w:sz w:val="21"/>
          <w:highlight w:val="yellow"/>
        </w:rPr>
        <w:t>[X]</w:t>
      </w:r>
      <w:r>
        <w:rPr>
          <w:rFonts w:ascii="等线" w:hAnsi="等线" w:eastAsia="等线"/>
          <w:b w:val="0"/>
          <w:sz w:val="21"/>
        </w:rPr>
        <w:t>百万美元。</w:t>
      </w:r>
    </w:p>
    <w:p>
      <w:pPr>
        <w:ind w:left="480"/>
        <w:jc w:val="left"/>
      </w:pPr>
      <w:r>
        <w:rPr>
          <w:rFonts w:ascii="等线" w:hAnsi="等线" w:eastAsia="等线"/>
          <w:b w:val="0"/>
          <w:sz w:val="21"/>
        </w:rPr>
        <w:t>◦ 操作风险如系统故障或内部欺诈可能影响客户服务质量和银行声誉。一次重大系统故障可能导致</w:t>
      </w:r>
      <w:r>
        <w:rPr>
          <w:rFonts w:ascii="等线" w:hAnsi="等线" w:eastAsia="等线"/>
          <w:b w:val="0"/>
          <w:sz w:val="21"/>
          <w:highlight w:val="yellow"/>
        </w:rPr>
        <w:t>[X]</w:t>
      </w:r>
      <w:r>
        <w:rPr>
          <w:rFonts w:ascii="等线" w:hAnsi="等线" w:eastAsia="等线"/>
          <w:b w:val="0"/>
          <w:sz w:val="21"/>
        </w:rPr>
        <w:t>万客户无法正常使用网上银行服务，损失客户满意度</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7. 评估影响的重大程度</w:t>
      </w:r>
    </w:p>
    <w:p>
      <w:pPr>
        <w:jc w:val="left"/>
      </w:pPr>
      <w:r>
        <w:rPr>
          <w:rFonts w:ascii="等线" w:hAnsi="等线" w:eastAsia="等线"/>
          <w:b w:val="0"/>
          <w:sz w:val="21"/>
        </w:rPr>
        <w:t>8. 严重性：</w:t>
      </w:r>
    </w:p>
    <w:p>
      <w:pPr>
        <w:ind w:left="480"/>
        <w:jc w:val="left"/>
      </w:pPr>
      <w:r>
        <w:rPr>
          <w:rFonts w:ascii="等线" w:hAnsi="等线" w:eastAsia="等线"/>
          <w:b w:val="0"/>
          <w:sz w:val="21"/>
        </w:rPr>
        <w:t>◦ 规模：信用风险涉及的贷款资产规模巨大，如企业贷款组合总额达到</w:t>
      </w:r>
      <w:r>
        <w:rPr>
          <w:rFonts w:ascii="等线" w:hAnsi="等线" w:eastAsia="等线"/>
          <w:b w:val="0"/>
          <w:sz w:val="21"/>
          <w:highlight w:val="yellow"/>
        </w:rPr>
        <w:t>[X]</w:t>
      </w:r>
      <w:r>
        <w:rPr>
          <w:rFonts w:ascii="等线" w:hAnsi="等线" w:eastAsia="等线"/>
          <w:b w:val="0"/>
          <w:sz w:val="21"/>
        </w:rPr>
        <w:t>亿美元，一旦发生大规模违约，将对银行的财务状况产生重大影响。</w:t>
      </w:r>
    </w:p>
    <w:p>
      <w:pPr>
        <w:ind w:left="480"/>
        <w:jc w:val="left"/>
      </w:pPr>
      <w:r>
        <w:rPr>
          <w:rFonts w:ascii="等线" w:hAnsi="等线" w:eastAsia="等线"/>
          <w:b w:val="0"/>
          <w:sz w:val="21"/>
        </w:rPr>
        <w:t>◦ 范围：操作风险影响的范围广泛，涉及所有使用银行服务的客户，无论是国内还是国际客户。</w:t>
      </w:r>
    </w:p>
    <w:p>
      <w:pPr>
        <w:ind w:left="480"/>
        <w:jc w:val="left"/>
      </w:pPr>
      <w:r>
        <w:rPr>
          <w:rFonts w:ascii="等线" w:hAnsi="等线" w:eastAsia="等线"/>
          <w:b w:val="0"/>
          <w:sz w:val="21"/>
        </w:rPr>
        <w:t>◦ 不可补救性：声誉受损一旦发生，很难在短时间内完全恢复，可能需要多年的努力和大量的资源投入。</w:t>
      </w:r>
    </w:p>
    <w:p>
      <w:pPr>
        <w:jc w:val="left"/>
      </w:pPr>
      <w:r>
        <w:rPr>
          <w:rFonts w:ascii="等线" w:hAnsi="等线" w:eastAsia="等线"/>
          <w:b w:val="0"/>
          <w:sz w:val="21"/>
        </w:rPr>
        <w:t>9. 可能性：根据历史数据和行业经验，信用风险中，中小企业贷款违约的可能性约为</w:t>
      </w:r>
      <w:r>
        <w:rPr>
          <w:rFonts w:ascii="等线" w:hAnsi="等线" w:eastAsia="等线"/>
          <w:b w:val="0"/>
          <w:sz w:val="21"/>
          <w:highlight w:val="yellow"/>
        </w:rPr>
        <w:t>[X]</w:t>
      </w:r>
      <w:r>
        <w:rPr>
          <w:rFonts w:ascii="等线" w:hAnsi="等线" w:eastAsia="等线"/>
          <w:b w:val="0"/>
          <w:sz w:val="21"/>
        </w:rPr>
        <w:t>%，而大型企业贷款违约可能性相对较低，约为</w:t>
      </w:r>
      <w:r>
        <w:rPr>
          <w:rFonts w:ascii="等线" w:hAnsi="等线" w:eastAsia="等线"/>
          <w:b w:val="0"/>
          <w:sz w:val="21"/>
          <w:highlight w:val="yellow"/>
        </w:rPr>
        <w:t>[X]</w:t>
      </w:r>
      <w:r>
        <w:rPr>
          <w:rFonts w:ascii="等线" w:hAnsi="等线" w:eastAsia="等线"/>
          <w:b w:val="0"/>
          <w:sz w:val="21"/>
        </w:rPr>
        <w:t>%。操作风险中，系统故障的可能性约为</w:t>
      </w:r>
      <w:r>
        <w:rPr>
          <w:rFonts w:ascii="等线" w:hAnsi="等线" w:eastAsia="等线"/>
          <w:b w:val="0"/>
          <w:sz w:val="21"/>
          <w:highlight w:val="yellow"/>
        </w:rPr>
        <w:t>[X]</w:t>
      </w:r>
      <w:r>
        <w:rPr>
          <w:rFonts w:ascii="等线" w:hAnsi="等线" w:eastAsia="等线"/>
          <w:b w:val="0"/>
          <w:sz w:val="21"/>
        </w:rPr>
        <w:t>%，内部欺诈的可能性约为</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10. 实质性议题的优先级排序</w:t>
      </w:r>
    </w:p>
    <w:p>
      <w:pPr>
        <w:jc w:val="left"/>
      </w:pPr>
      <w:r>
        <w:rPr>
          <w:rFonts w:ascii="等线" w:hAnsi="等线" w:eastAsia="等线"/>
          <w:b w:val="0"/>
          <w:sz w:val="21"/>
        </w:rPr>
        <w:t>11. 设定阈值：根据影响的严重性和可能性的乘积来设定阈值。例如，乘积大于</w:t>
      </w:r>
      <w:r>
        <w:rPr>
          <w:rFonts w:ascii="等线" w:hAnsi="等线" w:eastAsia="等线"/>
          <w:b w:val="0"/>
          <w:sz w:val="21"/>
          <w:highlight w:val="yellow"/>
        </w:rPr>
        <w:t>[X]</w:t>
      </w:r>
      <w:r>
        <w:rPr>
          <w:rFonts w:ascii="等线" w:hAnsi="等线" w:eastAsia="等线"/>
          <w:b w:val="0"/>
          <w:sz w:val="21"/>
        </w:rPr>
        <w:t>的议题被视为高优先级议题。</w:t>
      </w:r>
    </w:p>
    <w:p>
      <w:pPr>
        <w:jc w:val="left"/>
      </w:pPr>
      <w:r>
        <w:rPr>
          <w:rFonts w:ascii="等线" w:hAnsi="等线" w:eastAsia="等线"/>
          <w:b w:val="0"/>
          <w:sz w:val="21"/>
        </w:rPr>
        <w:t>12. 参考行业标准：参考国际银行业协会等发布的行业标准，确保本银行识别的议题符合行业普遍关注的重点。</w:t>
      </w:r>
    </w:p>
    <w:p>
      <w:pPr>
        <w:jc w:val="left"/>
      </w:pPr>
      <w:r>
        <w:rPr>
          <w:rFonts w:ascii="等线" w:hAnsi="等线" w:eastAsia="等线"/>
          <w:b w:val="0"/>
          <w:sz w:val="21"/>
        </w:rPr>
        <w:t>13. 最高治理机构审核批准：由银行董事会对实质性议题清单进行审核和批准，确保议题的全面性和准确性。</w:t>
      </w:r>
    </w:p>
    <w:p>
      <w:pPr>
        <w:jc w:val="left"/>
      </w:pPr>
      <w:r>
        <w:rPr>
          <w:rFonts w:ascii="等线" w:hAnsi="等线" w:eastAsia="等线"/>
          <w:b w:val="0"/>
          <w:sz w:val="21"/>
        </w:rPr>
        <w:t>二、实质性议题及其优先级</w:t>
      </w:r>
    </w:p>
    <w:p>
      <w:pPr>
        <w:jc w:val="left"/>
      </w:pPr>
      <w:r>
        <w:rPr>
          <w:rFonts w:ascii="等线" w:hAnsi="等线" w:eastAsia="等线"/>
          <w:b w:val="0"/>
          <w:sz w:val="21"/>
        </w:rPr>
        <w:t>1. 高优先级实质性议题</w:t>
      </w:r>
    </w:p>
    <w:p>
      <w:pPr>
        <w:jc w:val="left"/>
      </w:pPr>
      <w:r>
        <w:rPr>
          <w:rFonts w:ascii="等线" w:hAnsi="等线" w:eastAsia="等线"/>
          <w:b w:val="0"/>
          <w:sz w:val="21"/>
        </w:rPr>
        <w:t>2. 信用风险管理：鉴于其对银行财务状况的重大影响，涉及的资产规模巨大，且违约可能性存在一定比例，是银行稳定运营的关键。</w:t>
      </w:r>
    </w:p>
    <w:p>
      <w:pPr>
        <w:jc w:val="left"/>
      </w:pPr>
      <w:r>
        <w:rPr>
          <w:rFonts w:ascii="等线" w:hAnsi="等线" w:eastAsia="等线"/>
          <w:b w:val="0"/>
          <w:sz w:val="21"/>
        </w:rPr>
        <w:t>3. 合规经营：在国际市场运营，面临不同国家和地区的监管要求，合规风险一旦发生，可能导致巨额罚款和声誉受损。</w:t>
      </w:r>
    </w:p>
    <w:p>
      <w:pPr>
        <w:jc w:val="left"/>
      </w:pPr>
      <w:r>
        <w:rPr>
          <w:rFonts w:ascii="等线" w:hAnsi="等线" w:eastAsia="等线"/>
          <w:b w:val="0"/>
          <w:sz w:val="21"/>
        </w:rPr>
        <w:t>4. 中优先级实质性议题</w:t>
      </w:r>
    </w:p>
    <w:p>
      <w:pPr>
        <w:jc w:val="left"/>
      </w:pPr>
      <w:r>
        <w:rPr>
          <w:rFonts w:ascii="等线" w:hAnsi="等线" w:eastAsia="等线"/>
          <w:b w:val="0"/>
          <w:sz w:val="21"/>
        </w:rPr>
        <w:t>5. 客户服务质量提升：虽然对银行声誉有影响，但相比高优先级议题，其影响的严重性和可能性相对较低。不过，随着市场竞争加剧，优质的客户服务有助于吸引和保留客户。</w:t>
      </w:r>
    </w:p>
    <w:p>
      <w:pPr>
        <w:jc w:val="left"/>
      </w:pPr>
      <w:r>
        <w:rPr>
          <w:rFonts w:ascii="等线" w:hAnsi="等线" w:eastAsia="等线"/>
          <w:b w:val="0"/>
          <w:sz w:val="21"/>
        </w:rPr>
        <w:t>6. 员工培训与发展：员工素质影响银行的服务水平和创新能力，但在短期内对银行的核心财务指标影响相对间接。</w:t>
      </w:r>
    </w:p>
    <w:p>
      <w:pPr>
        <w:jc w:val="left"/>
      </w:pPr>
      <w:r>
        <w:rPr>
          <w:rFonts w:ascii="等线" w:hAnsi="等线" w:eastAsia="等线"/>
          <w:b w:val="0"/>
          <w:sz w:val="21"/>
        </w:rPr>
        <w:t>7. 低优先级实质性议题</w:t>
      </w:r>
    </w:p>
    <w:p>
      <w:pPr>
        <w:jc w:val="left"/>
      </w:pPr>
      <w:r>
        <w:rPr>
          <w:rFonts w:ascii="等线" w:hAnsi="等线" w:eastAsia="等线"/>
          <w:b w:val="0"/>
          <w:sz w:val="21"/>
        </w:rPr>
        <w:t>8. 办公场所的节能减排：虽然是ESG的一部分，但与银行的核心业务相比，对银行的财务和运营影响相对较小。</w:t>
      </w:r>
    </w:p>
    <w:p>
      <w:pPr>
        <w:jc w:val="left"/>
      </w:pPr>
      <w:r>
        <w:rPr>
          <w:rFonts w:ascii="等线" w:hAnsi="等线" w:eastAsia="等线"/>
          <w:b w:val="0"/>
          <w:sz w:val="21"/>
        </w:rPr>
        <w:t>如果与上一期报告有变化，应说明例如由于业务战略调整，新开拓国际市场面临的合规风险提升，使得合规经营的优先级从原来的中优先级提升到高优先级；或者由于技术改进，信用风险管理的技术手段增强，其优先级相对上一期略有降低等情况。</w:t>
      </w:r>
    </w:p>
    <w:p>
      <w:r>
        <w:br w:type="page"/>
      </w:r>
    </w:p>
    <w:p>
      <w:pPr>
        <w:pStyle w:val="Heading1"/>
      </w:pPr>
      <w:r>
        <w:rPr>
          <w:rFonts w:ascii="等线" w:hAnsi="等线" w:eastAsia="等线"/>
          <w:color w:val="000000"/>
          <w:sz w:val="44"/>
        </w:rPr>
        <w:t>可持续发展管理</w:t>
      </w:r>
    </w:p>
    <w:p>
      <w:pPr>
        <w:pStyle w:val="Heading2"/>
      </w:pPr>
      <w:r>
        <w:rPr>
          <w:rFonts w:ascii="等线" w:hAnsi="等线" w:eastAsia="等线"/>
          <w:color w:val="000000"/>
          <w:sz w:val="32"/>
        </w:rPr>
        <w:t>治理结构</w:t>
      </w:r>
    </w:p>
    <w:p>
      <w:pPr>
        <w:jc w:val="left"/>
      </w:pPr>
      <w:r>
        <w:rPr>
          <w:rFonts w:ascii="等线" w:hAnsi="等线" w:eastAsia="等线"/>
          <w:b w:val="0"/>
          <w:sz w:val="21"/>
        </w:rPr>
        <w:t>一、负责可持续发展管理与监督的机构及管理层设置</w:t>
      </w:r>
    </w:p>
    <w:p>
      <w:pPr>
        <w:jc w:val="left"/>
      </w:pPr>
      <w:r>
        <w:rPr>
          <w:rFonts w:ascii="等线" w:hAnsi="等线" w:eastAsia="等线"/>
          <w:b w:val="0"/>
          <w:sz w:val="21"/>
        </w:rPr>
        <w:t>在本大型国有银行业企业中，董事会对可持续发展相关影响、风险和机遇承担全面的管理与监督职责。董事会成员共</w:t>
      </w:r>
      <w:r>
        <w:rPr>
          <w:rFonts w:ascii="等线" w:hAnsi="等线" w:eastAsia="等线"/>
          <w:b w:val="0"/>
          <w:sz w:val="21"/>
          <w:highlight w:val="yellow"/>
        </w:rPr>
        <w:t>[X]</w:t>
      </w:r>
      <w:r>
        <w:rPr>
          <w:rFonts w:ascii="等线" w:hAnsi="等线" w:eastAsia="等线"/>
          <w:b w:val="0"/>
          <w:sz w:val="21"/>
        </w:rPr>
        <w:t>名，其中具备金融风险管理专业背景的成员有</w:t>
      </w:r>
      <w:r>
        <w:rPr>
          <w:rFonts w:ascii="等线" w:hAnsi="等线" w:eastAsia="等线"/>
          <w:b w:val="0"/>
          <w:sz w:val="21"/>
          <w:highlight w:val="yellow"/>
        </w:rPr>
        <w:t>[X]</w:t>
      </w:r>
      <w:r>
        <w:rPr>
          <w:rFonts w:ascii="等线" w:hAnsi="等线" w:eastAsia="等线"/>
          <w:b w:val="0"/>
          <w:sz w:val="21"/>
        </w:rPr>
        <w:t>名，具有环境与社会领域相关经验（如环境科学、社会学等）的成员为</w:t>
      </w:r>
      <w:r>
        <w:rPr>
          <w:rFonts w:ascii="等线" w:hAnsi="等线" w:eastAsia="等线"/>
          <w:b w:val="0"/>
          <w:sz w:val="21"/>
          <w:highlight w:val="yellow"/>
        </w:rPr>
        <w:t>[X]</w:t>
      </w:r>
      <w:r>
        <w:rPr>
          <w:rFonts w:ascii="等线" w:hAnsi="等线" w:eastAsia="等线"/>
          <w:b w:val="0"/>
          <w:sz w:val="21"/>
        </w:rPr>
        <w:t>名。</w:t>
      </w:r>
    </w:p>
    <w:p>
      <w:pPr>
        <w:jc w:val="left"/>
      </w:pPr>
      <w:r>
        <w:rPr>
          <w:rFonts w:ascii="等线" w:hAnsi="等线" w:eastAsia="等线"/>
          <w:b w:val="0"/>
          <w:sz w:val="21"/>
        </w:rPr>
        <w:t>董事会下设专门的可持续发展委员会，成员由</w:t>
      </w:r>
      <w:r>
        <w:rPr>
          <w:rFonts w:ascii="等线" w:hAnsi="等线" w:eastAsia="等线"/>
          <w:b w:val="0"/>
          <w:sz w:val="21"/>
          <w:highlight w:val="yellow"/>
        </w:rPr>
        <w:t>[X]</w:t>
      </w:r>
      <w:r>
        <w:rPr>
          <w:rFonts w:ascii="等线" w:hAnsi="等线" w:eastAsia="等线"/>
          <w:b w:val="0"/>
          <w:sz w:val="21"/>
        </w:rPr>
        <w:t>名董事组成。其职权范围涵盖制定可持续发展战略、政策，监督可持续发展目标的设定与执行情况等。工作任务主要包括每年至少开展</w:t>
      </w:r>
      <w:r>
        <w:rPr>
          <w:rFonts w:ascii="等线" w:hAnsi="等线" w:eastAsia="等线"/>
          <w:b w:val="0"/>
          <w:sz w:val="21"/>
          <w:highlight w:val="yellow"/>
        </w:rPr>
        <w:t>[X]</w:t>
      </w:r>
      <w:r>
        <w:rPr>
          <w:rFonts w:ascii="等线" w:hAnsi="等线" w:eastAsia="等线"/>
          <w:b w:val="0"/>
          <w:sz w:val="21"/>
        </w:rPr>
        <w:t>次关于可持续发展的专题研讨，目标是确保银行在业务运营中充分考虑环境、社会和公司治理因素，实现可持续发展目标与银行业务战略的有机融合。</w:t>
      </w:r>
    </w:p>
    <w:p>
      <w:pPr>
        <w:jc w:val="left"/>
      </w:pPr>
      <w:r>
        <w:rPr>
          <w:rFonts w:ascii="等线" w:hAnsi="等线" w:eastAsia="等线"/>
          <w:b w:val="0"/>
          <w:sz w:val="21"/>
        </w:rPr>
        <w:t>管理层方面，设置了可持续发展执行团队，由</w:t>
      </w:r>
      <w:r>
        <w:rPr>
          <w:rFonts w:ascii="等线" w:hAnsi="等线" w:eastAsia="等线"/>
          <w:b w:val="0"/>
          <w:sz w:val="21"/>
          <w:highlight w:val="yellow"/>
        </w:rPr>
        <w:t>[X]</w:t>
      </w:r>
      <w:r>
        <w:rPr>
          <w:rFonts w:ascii="等线" w:hAnsi="等线" w:eastAsia="等线"/>
          <w:b w:val="0"/>
          <w:sz w:val="21"/>
        </w:rPr>
        <w:t>名高级管理人员领导，团队成员总数为</w:t>
      </w:r>
      <w:r>
        <w:rPr>
          <w:rFonts w:ascii="等线" w:hAnsi="等线" w:eastAsia="等线"/>
          <w:b w:val="0"/>
          <w:sz w:val="21"/>
          <w:highlight w:val="yellow"/>
        </w:rPr>
        <w:t>[X]</w:t>
      </w:r>
      <w:r>
        <w:rPr>
          <w:rFonts w:ascii="等线" w:hAnsi="等线" w:eastAsia="等线"/>
          <w:b w:val="0"/>
          <w:sz w:val="21"/>
        </w:rPr>
        <w:t>人，他们分别来自风险管理、业务运营、公共关系等不同部门。其主要职权是将董事会制定的可持续发展战略转化为具体的业务计划并加以执行，工作任务包括制定年度可持续发展业务计划，目标是确保各项业务活动符合可持续发展要求。</w:t>
      </w:r>
    </w:p>
    <w:p>
      <w:pPr>
        <w:jc w:val="left"/>
      </w:pPr>
      <w:r>
        <w:rPr>
          <w:rFonts w:ascii="等线" w:hAnsi="等线" w:eastAsia="等线"/>
          <w:b w:val="0"/>
          <w:sz w:val="21"/>
        </w:rPr>
        <w:t>二、机构和人员的专业技能与能力</w:t>
      </w:r>
    </w:p>
    <w:p>
      <w:pPr>
        <w:jc w:val="left"/>
      </w:pPr>
      <w:r>
        <w:rPr>
          <w:rFonts w:ascii="等线" w:hAnsi="等线" w:eastAsia="等线"/>
          <w:b w:val="0"/>
          <w:sz w:val="21"/>
        </w:rPr>
        <w:t>董事会成员平均拥有超过</w:t>
      </w:r>
      <w:r>
        <w:rPr>
          <w:rFonts w:ascii="等线" w:hAnsi="等线" w:eastAsia="等线"/>
          <w:b w:val="0"/>
          <w:sz w:val="21"/>
          <w:highlight w:val="yellow"/>
        </w:rPr>
        <w:t>[X]</w:t>
      </w:r>
      <w:r>
        <w:rPr>
          <w:rFonts w:ascii="等线" w:hAnsi="等线" w:eastAsia="等线"/>
          <w:b w:val="0"/>
          <w:sz w:val="21"/>
        </w:rPr>
        <w:t>年的金融行业经验，其中</w:t>
      </w:r>
      <w:r>
        <w:rPr>
          <w:rFonts w:ascii="等线" w:hAnsi="等线" w:eastAsia="等线"/>
          <w:b w:val="0"/>
          <w:sz w:val="21"/>
          <w:highlight w:val="yellow"/>
        </w:rPr>
        <w:t>[X]</w:t>
      </w:r>
      <w:r>
        <w:rPr>
          <w:rFonts w:ascii="等线" w:hAnsi="等线" w:eastAsia="等线"/>
          <w:b w:val="0"/>
          <w:sz w:val="21"/>
        </w:rPr>
        <w:t>%的成员接受过可持续发展相关培训课程，累计培训时长达到</w:t>
      </w:r>
      <w:r>
        <w:rPr>
          <w:rFonts w:ascii="等线" w:hAnsi="等线" w:eastAsia="等线"/>
          <w:b w:val="0"/>
          <w:sz w:val="21"/>
          <w:highlight w:val="yellow"/>
        </w:rPr>
        <w:t>[X]</w:t>
      </w:r>
      <w:r>
        <w:rPr>
          <w:rFonts w:ascii="等线" w:hAnsi="等线" w:eastAsia="等线"/>
          <w:b w:val="0"/>
          <w:sz w:val="21"/>
        </w:rPr>
        <w:t>小时以上。可持续发展委员会成员中，</w:t>
      </w:r>
      <w:r>
        <w:rPr>
          <w:rFonts w:ascii="等线" w:hAnsi="等线" w:eastAsia="等线"/>
          <w:b w:val="0"/>
          <w:sz w:val="21"/>
          <w:highlight w:val="yellow"/>
        </w:rPr>
        <w:t>[X]</w:t>
      </w:r>
      <w:r>
        <w:rPr>
          <w:rFonts w:ascii="等线" w:hAnsi="等线" w:eastAsia="等线"/>
          <w:b w:val="0"/>
          <w:sz w:val="21"/>
        </w:rPr>
        <w:t>%具备国际认可的ESG相关专业资格认证，如CFA ESG证书等。</w:t>
      </w:r>
    </w:p>
    <w:p>
      <w:pPr>
        <w:jc w:val="left"/>
      </w:pPr>
      <w:r>
        <w:rPr>
          <w:rFonts w:ascii="等线" w:hAnsi="等线" w:eastAsia="等线"/>
          <w:b w:val="0"/>
          <w:sz w:val="21"/>
        </w:rPr>
        <w:t>管理层的可持续发展执行团队成员，</w:t>
      </w:r>
      <w:r>
        <w:rPr>
          <w:rFonts w:ascii="等线" w:hAnsi="等线" w:eastAsia="等线"/>
          <w:b w:val="0"/>
          <w:sz w:val="21"/>
          <w:highlight w:val="yellow"/>
        </w:rPr>
        <w:t>[X]</w:t>
      </w:r>
      <w:r>
        <w:rPr>
          <w:rFonts w:ascii="等线" w:hAnsi="等线" w:eastAsia="等线"/>
          <w:b w:val="0"/>
          <w:sz w:val="21"/>
        </w:rPr>
        <w:t>%拥有硕士及以上学历，其中</w:t>
      </w:r>
      <w:r>
        <w:rPr>
          <w:rFonts w:ascii="等线" w:hAnsi="等线" w:eastAsia="等线"/>
          <w:b w:val="0"/>
          <w:sz w:val="21"/>
          <w:highlight w:val="yellow"/>
        </w:rPr>
        <w:t>[X]</w:t>
      </w:r>
      <w:r>
        <w:rPr>
          <w:rFonts w:ascii="等线" w:hAnsi="等线" w:eastAsia="等线"/>
          <w:b w:val="0"/>
          <w:sz w:val="21"/>
        </w:rPr>
        <w:t>%具备风险管理专业硕士学位，</w:t>
      </w:r>
      <w:r>
        <w:rPr>
          <w:rFonts w:ascii="等线" w:hAnsi="等线" w:eastAsia="等线"/>
          <w:b w:val="0"/>
          <w:sz w:val="21"/>
          <w:highlight w:val="yellow"/>
        </w:rPr>
        <w:t>[X]</w:t>
      </w:r>
      <w:r>
        <w:rPr>
          <w:rFonts w:ascii="等线" w:hAnsi="等线" w:eastAsia="等线"/>
          <w:b w:val="0"/>
          <w:sz w:val="21"/>
        </w:rPr>
        <w:t>%具有环境或社会科学相关的学术背景。团队成员平均参加过</w:t>
      </w:r>
      <w:r>
        <w:rPr>
          <w:rFonts w:ascii="等线" w:hAnsi="等线" w:eastAsia="等线"/>
          <w:b w:val="0"/>
          <w:sz w:val="21"/>
          <w:highlight w:val="yellow"/>
        </w:rPr>
        <w:t>[X]</w:t>
      </w:r>
      <w:r>
        <w:rPr>
          <w:rFonts w:ascii="等线" w:hAnsi="等线" w:eastAsia="等线"/>
          <w:b w:val="0"/>
          <w:sz w:val="21"/>
        </w:rPr>
        <w:t>次可持续发展相关的国际研讨会或行业论坛，以确保他们能够紧跟国际可持续发展趋势并应用于银行业务实践。</w:t>
      </w:r>
    </w:p>
    <w:p>
      <w:pPr>
        <w:jc w:val="left"/>
      </w:pPr>
      <w:r>
        <w:rPr>
          <w:rFonts w:ascii="等线" w:hAnsi="等线" w:eastAsia="等线"/>
          <w:b w:val="0"/>
          <w:sz w:val="21"/>
        </w:rPr>
        <w:t>三、信息报告机制</w:t>
      </w:r>
    </w:p>
    <w:p>
      <w:pPr>
        <w:jc w:val="left"/>
      </w:pPr>
      <w:r>
        <w:rPr>
          <w:rFonts w:ascii="等线" w:hAnsi="等线" w:eastAsia="等线"/>
          <w:b w:val="0"/>
          <w:sz w:val="21"/>
        </w:rPr>
        <w:t>建立了完善的信息报告机制。各业务部门以月度报告的方式向可持续发展执行团队汇报可持续发展相关影响、风险和机遇的情况。报告内容包括业务活动中的环境影响数据（如碳排放估算量，单位：吨二氧化碳当量）、社会影响数据（如普惠金融服务覆盖的客户数量）以及潜在的ESG风险。</w:t>
      </w:r>
    </w:p>
    <w:p>
      <w:pPr>
        <w:jc w:val="left"/>
      </w:pPr>
      <w:r>
        <w:rPr>
          <w:rFonts w:ascii="等线" w:hAnsi="等线" w:eastAsia="等线"/>
          <w:b w:val="0"/>
          <w:sz w:val="21"/>
        </w:rPr>
        <w:t>可持续发展执行团队则以季度报告的形式向董事会及可持续发展委员会汇报。报告中除了汇总各业务部门的数据外，还包括对可持续发展战略执行情况的评估、与目标的差距分析以及应对措施建议等。</w:t>
      </w:r>
    </w:p>
    <w:p>
      <w:pPr>
        <w:jc w:val="left"/>
      </w:pPr>
      <w:r>
        <w:rPr>
          <w:rFonts w:ascii="等线" w:hAnsi="等线" w:eastAsia="等线"/>
          <w:b w:val="0"/>
          <w:sz w:val="21"/>
        </w:rPr>
        <w:t>四、目标设定、战略执行与监督情况</w:t>
      </w:r>
    </w:p>
    <w:p>
      <w:pPr>
        <w:jc w:val="left"/>
      </w:pPr>
      <w:r>
        <w:rPr>
          <w:rFonts w:ascii="等线" w:hAnsi="等线" w:eastAsia="等线"/>
          <w:b w:val="0"/>
          <w:sz w:val="21"/>
        </w:rPr>
        <w:t>内部控制制度方面，制定了《可持续发展风险管理手册》，明确了从业务前端到后台支持部门在可持续发展风险管理中的职责。监督程序包括定期的内部审计，每年至少开展</w:t>
      </w:r>
      <w:r>
        <w:rPr>
          <w:rFonts w:ascii="等线" w:hAnsi="等线" w:eastAsia="等线"/>
          <w:b w:val="0"/>
          <w:sz w:val="21"/>
          <w:highlight w:val="yellow"/>
        </w:rPr>
        <w:t>[X]</w:t>
      </w:r>
      <w:r>
        <w:rPr>
          <w:rFonts w:ascii="等线" w:hAnsi="等线" w:eastAsia="等线"/>
          <w:b w:val="0"/>
          <w:sz w:val="21"/>
        </w:rPr>
        <w:t>次针对可持续发展相关业务的审计工作。</w:t>
      </w:r>
    </w:p>
    <w:p>
      <w:pPr>
        <w:jc w:val="left"/>
      </w:pPr>
      <w:r>
        <w:rPr>
          <w:rFonts w:ascii="等线" w:hAnsi="等线" w:eastAsia="等线"/>
          <w:b w:val="0"/>
          <w:sz w:val="21"/>
        </w:rPr>
        <w:t>监督措施主要是通过关键绩效指标（KPI）考核。例如，设定了年度环境风险敞口降低</w:t>
      </w:r>
      <w:r>
        <w:rPr>
          <w:rFonts w:ascii="等线" w:hAnsi="等线" w:eastAsia="等线"/>
          <w:b w:val="0"/>
          <w:sz w:val="21"/>
          <w:highlight w:val="yellow"/>
        </w:rPr>
        <w:t>[X]</w:t>
      </w:r>
      <w:r>
        <w:rPr>
          <w:rFonts w:ascii="等线" w:hAnsi="等线" w:eastAsia="等线"/>
          <w:b w:val="0"/>
          <w:sz w:val="21"/>
        </w:rPr>
        <w:t>%的目标，截至目前已降低了</w:t>
      </w:r>
      <w:r>
        <w:rPr>
          <w:rFonts w:ascii="等线" w:hAnsi="等线" w:eastAsia="等线"/>
          <w:b w:val="0"/>
          <w:sz w:val="21"/>
          <w:highlight w:val="yellow"/>
        </w:rPr>
        <w:t>[X]</w:t>
      </w:r>
      <w:r>
        <w:rPr>
          <w:rFonts w:ascii="等线" w:hAnsi="等线" w:eastAsia="等线"/>
          <w:b w:val="0"/>
          <w:sz w:val="21"/>
        </w:rPr>
        <w:t>%；普惠金融业务增长目标为</w:t>
      </w:r>
      <w:r>
        <w:rPr>
          <w:rFonts w:ascii="等线" w:hAnsi="等线" w:eastAsia="等线"/>
          <w:b w:val="0"/>
          <w:sz w:val="21"/>
          <w:highlight w:val="yellow"/>
        </w:rPr>
        <w:t>[X]</w:t>
      </w:r>
      <w:r>
        <w:rPr>
          <w:rFonts w:ascii="等线" w:hAnsi="等线" w:eastAsia="等线"/>
          <w:b w:val="0"/>
          <w:sz w:val="21"/>
        </w:rPr>
        <w:t>%，实际已达到</w:t>
      </w:r>
      <w:r>
        <w:rPr>
          <w:rFonts w:ascii="等线" w:hAnsi="等线" w:eastAsia="等线"/>
          <w:b w:val="0"/>
          <w:sz w:val="21"/>
          <w:highlight w:val="yellow"/>
        </w:rPr>
        <w:t>[X]</w:t>
      </w:r>
      <w:r>
        <w:rPr>
          <w:rFonts w:ascii="等线" w:hAnsi="等线" w:eastAsia="等线"/>
          <w:b w:val="0"/>
          <w:sz w:val="21"/>
        </w:rPr>
        <w:t>%。考核情况与员工绩效奖金挂钩，对于在可持续发展工作中有突出贡献的团队和个人给予额外的奖励，奖励金额占总绩效奖金的</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五、将可持续发展纳入决策考虑的措施</w:t>
      </w:r>
    </w:p>
    <w:p>
      <w:pPr>
        <w:jc w:val="left"/>
      </w:pPr>
      <w:r>
        <w:rPr>
          <w:rFonts w:ascii="等线" w:hAnsi="等线" w:eastAsia="等线"/>
          <w:b w:val="0"/>
          <w:sz w:val="21"/>
        </w:rPr>
        <w:t>在战略实施方面，董事会在审批年度业务战略时，要求提供可持续发展影响评估报告，该报告需量化分析业务战略对环境（如能源消耗变化量，单位：兆瓦时）、社会（如就业机会创造数量）和治理（如内部治理结构优化带来的效率提升比例）的影响。</w:t>
      </w:r>
    </w:p>
    <w:p>
      <w:pPr>
        <w:jc w:val="left"/>
      </w:pPr>
      <w:r>
        <w:rPr>
          <w:rFonts w:ascii="等线" w:hAnsi="等线" w:eastAsia="等线"/>
          <w:b w:val="0"/>
          <w:sz w:val="21"/>
        </w:rPr>
        <w:t>在重大交易决策过程中，建立了可持续发展风险评估模型。对于涉及金额超过</w:t>
      </w:r>
      <w:r>
        <w:rPr>
          <w:rFonts w:ascii="等线" w:hAnsi="等线" w:eastAsia="等线"/>
          <w:b w:val="0"/>
          <w:sz w:val="21"/>
          <w:highlight w:val="yellow"/>
        </w:rPr>
        <w:t>[X]</w:t>
      </w:r>
      <w:r>
        <w:rPr>
          <w:rFonts w:ascii="等线" w:hAnsi="等线" w:eastAsia="等线"/>
          <w:b w:val="0"/>
          <w:sz w:val="21"/>
        </w:rPr>
        <w:t>亿美元的重大交易，必须进行全面的ESG风险评估，评估结果作为交易决策的重要依据。在风险管理方面，将可持续发展风险纳入整体风险框架，设定可持续发展风险容忍度为</w:t>
      </w:r>
      <w:r>
        <w:rPr>
          <w:rFonts w:ascii="等线" w:hAnsi="等线" w:eastAsia="等线"/>
          <w:b w:val="0"/>
          <w:sz w:val="21"/>
          <w:highlight w:val="yellow"/>
        </w:rPr>
        <w:t>[X]</w:t>
      </w:r>
      <w:r>
        <w:rPr>
          <w:rFonts w:ascii="等线" w:hAnsi="等线" w:eastAsia="等线"/>
          <w:b w:val="0"/>
          <w:sz w:val="21"/>
        </w:rPr>
        <w:t>%，并根据风险评估结果动态调整业务策略。</w:t>
      </w:r>
    </w:p>
    <w:p>
      <w:pPr>
        <w:pStyle w:val="Heading2"/>
      </w:pPr>
      <w:r>
        <w:rPr>
          <w:rFonts w:ascii="等线" w:hAnsi="等线" w:eastAsia="等线"/>
          <w:color w:val="000000"/>
          <w:sz w:val="32"/>
        </w:rPr>
        <w:t>风险与机遇识别</w:t>
      </w:r>
    </w:p>
    <w:p>
      <w:pPr>
        <w:jc w:val="left"/>
      </w:pPr>
      <w:r>
        <w:rPr>
          <w:rFonts w:ascii="等线" w:hAnsi="等线" w:eastAsia="等线"/>
          <w:b w:val="0"/>
          <w:sz w:val="21"/>
        </w:rPr>
        <w:t>一、可持续发展相关风险识别</w:t>
      </w:r>
    </w:p>
    <w:p>
      <w:pPr>
        <w:jc w:val="left"/>
      </w:pPr>
      <w:r>
        <w:rPr>
          <w:rFonts w:ascii="等线" w:hAnsi="等线" w:eastAsia="等线"/>
          <w:b w:val="0"/>
          <w:sz w:val="21"/>
        </w:rPr>
        <w:t>（一）风险类型及影响时间范围1.气候变化相关物理风险- 对于大型国有银行业企业，洪水、飓风等极端气候事件可能影响到其部分分支机构的运营。例如，位于沿海地区的分行可能面临海平面上升和风暴潮的威胁。从短期（1 - 2年）来看，可能会造成网点设施的轻微损坏，维修成本预计在</w:t>
      </w:r>
      <w:r>
        <w:rPr>
          <w:rFonts w:ascii="等线" w:hAnsi="等线" w:eastAsia="等线"/>
          <w:b w:val="0"/>
          <w:sz w:val="21"/>
          <w:highlight w:val="yellow"/>
        </w:rPr>
        <w:t>[X]</w:t>
      </w:r>
      <w:r>
        <w:rPr>
          <w:rFonts w:ascii="等线" w:hAnsi="等线" w:eastAsia="等线"/>
          <w:b w:val="0"/>
          <w:sz w:val="21"/>
        </w:rPr>
        <w:t>美元左右。中期（3 - 5年），如果海平面上升趋势加剧，可能需要对网点进行搬迁或加固，搬迁成本可能高达</w:t>
      </w:r>
      <w:r>
        <w:rPr>
          <w:rFonts w:ascii="等线" w:hAnsi="等线" w:eastAsia="等线"/>
          <w:b w:val="0"/>
          <w:sz w:val="21"/>
          <w:highlight w:val="yellow"/>
        </w:rPr>
        <w:t>[X]</w:t>
      </w:r>
      <w:r>
        <w:rPr>
          <w:rFonts w:ascii="等线" w:hAnsi="等线" w:eastAsia="等线"/>
          <w:b w:val="0"/>
          <w:sz w:val="21"/>
        </w:rPr>
        <w:t>美元，加固成本约为</w:t>
      </w:r>
      <w:r>
        <w:rPr>
          <w:rFonts w:ascii="等线" w:hAnsi="等线" w:eastAsia="等线"/>
          <w:b w:val="0"/>
          <w:sz w:val="21"/>
          <w:highlight w:val="yellow"/>
        </w:rPr>
        <w:t>[X]</w:t>
      </w:r>
      <w:r>
        <w:rPr>
          <w:rFonts w:ascii="等线" w:hAnsi="等线" w:eastAsia="等线"/>
          <w:b w:val="0"/>
          <w:sz w:val="21"/>
        </w:rPr>
        <w:t>美元。长期（5年以上），若不妥善应对，可能导致该地区业务萎缩，影响相关地区的市场份额，预计会使该地区业务收入减少</w:t>
      </w:r>
      <w:r>
        <w:rPr>
          <w:rFonts w:ascii="等线" w:hAnsi="等线" w:eastAsia="等线"/>
          <w:b w:val="0"/>
          <w:sz w:val="21"/>
          <w:highlight w:val="yellow"/>
        </w:rPr>
        <w:t>[X]</w:t>
      </w:r>
      <w:r>
        <w:rPr>
          <w:rFonts w:ascii="等线" w:hAnsi="等线" w:eastAsia="等线"/>
          <w:b w:val="0"/>
          <w:sz w:val="21"/>
        </w:rPr>
        <w:t>%。2.转型风险- 在向低碳经济转型过程中，银行面临着投资组合转型风险。如果银行对高碳行业（如煤炭、石油等）的贷款比例过高，随着全球对碳排放的限制加强，这些行业的企业可能面临经营困境，从而增加银行的不良贷款率。短期（1 - 2年）内，由于政策调整的初期，不良贷款率可能上升</w:t>
      </w:r>
      <w:r>
        <w:rPr>
          <w:rFonts w:ascii="等线" w:hAnsi="等线" w:eastAsia="等线"/>
          <w:b w:val="0"/>
          <w:sz w:val="21"/>
          <w:highlight w:val="yellow"/>
        </w:rPr>
        <w:t>[X]</w:t>
      </w:r>
      <w:r>
        <w:rPr>
          <w:rFonts w:ascii="等线" w:hAnsi="等线" w:eastAsia="等线"/>
          <w:b w:val="0"/>
          <w:sz w:val="21"/>
        </w:rPr>
        <w:t>个百分点。中期（3 - 5年），随着转型加速，若银行未能及时调整投资组合，不良贷款率可能进一步上升至</w:t>
      </w:r>
      <w:r>
        <w:rPr>
          <w:rFonts w:ascii="等线" w:hAnsi="等线" w:eastAsia="等线"/>
          <w:b w:val="0"/>
          <w:sz w:val="21"/>
          <w:highlight w:val="yellow"/>
        </w:rPr>
        <w:t>[X]</w:t>
      </w:r>
      <w:r>
        <w:rPr>
          <w:rFonts w:ascii="等线" w:hAnsi="等线" w:eastAsia="等线"/>
          <w:b w:val="0"/>
          <w:sz w:val="21"/>
        </w:rPr>
        <w:t>个百分点，这将直接影响银行的财务状况，减少净利润约</w:t>
      </w:r>
      <w:r>
        <w:rPr>
          <w:rFonts w:ascii="等线" w:hAnsi="等线" w:eastAsia="等线"/>
          <w:b w:val="0"/>
          <w:sz w:val="21"/>
          <w:highlight w:val="yellow"/>
        </w:rPr>
        <w:t>[X]</w:t>
      </w:r>
      <w:r>
        <w:rPr>
          <w:rFonts w:ascii="等线" w:hAnsi="等线" w:eastAsia="等线"/>
          <w:b w:val="0"/>
          <w:sz w:val="21"/>
        </w:rPr>
        <w:t>美元。长期（5年以上），可能会使银行在国际市场上的声誉受损，影响其国际业务拓展，导致国际业务收入减少</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（二）风险对商业模式、供应商和利益相关方的影响1.商业模式- 上述风险可能促使银行调整其业务模式，例如减少对高碳行业的依赖，增加对绿色产业（如可再生能源、节能环保等）的金融支持。这需要银行重新评估风险定价模型，改变信贷审批流程，预计在短期到中期内会增加运营成本约</w:t>
      </w:r>
      <w:r>
        <w:rPr>
          <w:rFonts w:ascii="等线" w:hAnsi="等线" w:eastAsia="等线"/>
          <w:b w:val="0"/>
          <w:sz w:val="21"/>
          <w:highlight w:val="yellow"/>
        </w:rPr>
        <w:t>[X]</w:t>
      </w:r>
      <w:r>
        <w:rPr>
          <w:rFonts w:ascii="等线" w:hAnsi="等线" w:eastAsia="等线"/>
          <w:b w:val="0"/>
          <w:sz w:val="21"/>
        </w:rPr>
        <w:t>美元，用于培训员工、更新评估系统等。2.供应商- 银行的供应商包括IT设备供应商、办公设备供应商等。如果银行受到风险冲击，业务量减少，可能会减少对供应商的订单。例如，在转型风险导致业务萎缩的情况下，预计在中期内会使IT设备采购量减少</w:t>
      </w:r>
      <w:r>
        <w:rPr>
          <w:rFonts w:ascii="等线" w:hAnsi="等线" w:eastAsia="等线"/>
          <w:b w:val="0"/>
          <w:sz w:val="21"/>
          <w:highlight w:val="yellow"/>
        </w:rPr>
        <w:t>[X]</w:t>
      </w:r>
      <w:r>
        <w:rPr>
          <w:rFonts w:ascii="等线" w:hAnsi="等线" w:eastAsia="等线"/>
          <w:b w:val="0"/>
          <w:sz w:val="21"/>
        </w:rPr>
        <w:t>台，办公设备采购金额减少</w:t>
      </w:r>
      <w:r>
        <w:rPr>
          <w:rFonts w:ascii="等线" w:hAnsi="等线" w:eastAsia="等线"/>
          <w:b w:val="0"/>
          <w:sz w:val="21"/>
          <w:highlight w:val="yellow"/>
        </w:rPr>
        <w:t>[X]</w:t>
      </w:r>
      <w:r>
        <w:rPr>
          <w:rFonts w:ascii="等线" w:hAnsi="等线" w:eastAsia="等线"/>
          <w:b w:val="0"/>
          <w:sz w:val="21"/>
        </w:rPr>
        <w:t>美元，这对供应商的业务发展产生一定的负面影响。3.其他利益相关方- 股东方面，风险可能导致银行股价波动，短期（1 - 2年）内股价可能下跌</w:t>
      </w:r>
      <w:r>
        <w:rPr>
          <w:rFonts w:ascii="等线" w:hAnsi="等线" w:eastAsia="等线"/>
          <w:b w:val="0"/>
          <w:sz w:val="21"/>
          <w:highlight w:val="yellow"/>
        </w:rPr>
        <w:t>[X]</w:t>
      </w:r>
      <w:r>
        <w:rPr>
          <w:rFonts w:ascii="等线" w:hAnsi="等线" w:eastAsia="等线"/>
          <w:b w:val="0"/>
          <w:sz w:val="21"/>
        </w:rPr>
        <w:t>%，影响股东的投资收益。对于客户而言，银行可能调整贷款利率和服务内容，如提高高碳企业贷款利率，降低绿色企业贷款利率，这将影响不同类型客户的融资成本和业务发展机会。</w:t>
      </w:r>
    </w:p>
    <w:p>
      <w:pPr>
        <w:jc w:val="left"/>
      </w:pPr>
      <w:r>
        <w:rPr>
          <w:rFonts w:ascii="等线" w:hAnsi="等线" w:eastAsia="等线"/>
          <w:b w:val="0"/>
          <w:sz w:val="21"/>
        </w:rPr>
        <w:t>二、可持续发展相关机遇识别</w:t>
      </w:r>
    </w:p>
    <w:p>
      <w:pPr>
        <w:jc w:val="left"/>
      </w:pPr>
      <w:r>
        <w:rPr>
          <w:rFonts w:ascii="等线" w:hAnsi="等线" w:eastAsia="等线"/>
          <w:b w:val="0"/>
          <w:sz w:val="21"/>
        </w:rPr>
        <w:t>（一）机遇类型及影响时间范围1.绿色金融机遇- 随着全球对可持续发展的重视，绿色金融市场迅速发展。从短期（1 - 2年）来看，银行可以通过发行绿色债券等方式筹集资金，预计发行规模可达</w:t>
      </w:r>
      <w:r>
        <w:rPr>
          <w:rFonts w:ascii="等线" w:hAnsi="等线" w:eastAsia="等线"/>
          <w:b w:val="0"/>
          <w:sz w:val="21"/>
          <w:highlight w:val="yellow"/>
        </w:rPr>
        <w:t>[X]</w:t>
      </w:r>
      <w:r>
        <w:rPr>
          <w:rFonts w:ascii="等线" w:hAnsi="等线" w:eastAsia="等线"/>
          <w:b w:val="0"/>
          <w:sz w:val="21"/>
        </w:rPr>
        <w:t>美元，同时可以获得</w:t>
      </w:r>
      <w:r>
        <w:rPr>
          <w:rFonts w:ascii="等线" w:hAnsi="等线" w:eastAsia="等线"/>
          <w:b w:val="0"/>
          <w:sz w:val="21"/>
          <w:highlight w:val="yellow"/>
        </w:rPr>
        <w:t>[X]</w:t>
      </w:r>
      <w:r>
        <w:rPr>
          <w:rFonts w:ascii="等线" w:hAnsi="等线" w:eastAsia="等线"/>
          <w:b w:val="0"/>
          <w:sz w:val="21"/>
        </w:rPr>
        <w:t>美元的绿色金融业务收入。中期（3 - 5年），随着绿色产业的发展，银行可以扩大对可再生能源项目的贷款规模，预计新增贷款额为</w:t>
      </w:r>
      <w:r>
        <w:rPr>
          <w:rFonts w:ascii="等线" w:hAnsi="等线" w:eastAsia="等线"/>
          <w:b w:val="0"/>
          <w:sz w:val="21"/>
          <w:highlight w:val="yellow"/>
        </w:rPr>
        <w:t>[X]</w:t>
      </w:r>
      <w:r>
        <w:rPr>
          <w:rFonts w:ascii="等线" w:hAnsi="等线" w:eastAsia="等线"/>
          <w:b w:val="0"/>
          <w:sz w:val="21"/>
        </w:rPr>
        <w:t>美元，这将带来</w:t>
      </w:r>
      <w:r>
        <w:rPr>
          <w:rFonts w:ascii="等线" w:hAnsi="等线" w:eastAsia="等线"/>
          <w:b w:val="0"/>
          <w:sz w:val="21"/>
          <w:highlight w:val="yellow"/>
        </w:rPr>
        <w:t>[X]</w:t>
      </w:r>
      <w:r>
        <w:rPr>
          <w:rFonts w:ascii="等线" w:hAnsi="等线" w:eastAsia="等线"/>
          <w:b w:val="0"/>
          <w:sz w:val="21"/>
        </w:rPr>
        <w:t>美元的利息收入。长期（5年以上），银行在绿色金融领域的领先地位将有助于提升其国际声誉，吸引更多国际客户，预计国际业务收入将增加</w:t>
      </w:r>
      <w:r>
        <w:rPr>
          <w:rFonts w:ascii="等线" w:hAnsi="等线" w:eastAsia="等线"/>
          <w:b w:val="0"/>
          <w:sz w:val="21"/>
          <w:highlight w:val="yellow"/>
        </w:rPr>
        <w:t>[X]</w:t>
      </w:r>
      <w:r>
        <w:rPr>
          <w:rFonts w:ascii="等线" w:hAnsi="等线" w:eastAsia="等线"/>
          <w:b w:val="0"/>
          <w:sz w:val="21"/>
        </w:rPr>
        <w:t>%。2.社会影响力投资机遇- 参与社会影响力投资，如对教育、医疗等社会民生项目的投资。短期（1 - 2年）内，银行可以通过与政府和社会组织合作，开展小额信贷项目，预计投入资金</w:t>
      </w:r>
      <w:r>
        <w:rPr>
          <w:rFonts w:ascii="等线" w:hAnsi="等线" w:eastAsia="等线"/>
          <w:b w:val="0"/>
          <w:sz w:val="21"/>
          <w:highlight w:val="yellow"/>
        </w:rPr>
        <w:t>[X]</w:t>
      </w:r>
      <w:r>
        <w:rPr>
          <w:rFonts w:ascii="等线" w:hAnsi="等线" w:eastAsia="等线"/>
          <w:b w:val="0"/>
          <w:sz w:val="21"/>
        </w:rPr>
        <w:t>美元，获得社会效益的同时，也能提升品牌形象，间接增加客户数量约</w:t>
      </w:r>
      <w:r>
        <w:rPr>
          <w:rFonts w:ascii="等线" w:hAnsi="等线" w:eastAsia="等线"/>
          <w:b w:val="0"/>
          <w:sz w:val="21"/>
          <w:highlight w:val="yellow"/>
        </w:rPr>
        <w:t>[X]</w:t>
      </w:r>
      <w:r>
        <w:rPr>
          <w:rFonts w:ascii="等线" w:hAnsi="等线" w:eastAsia="等线"/>
          <w:b w:val="0"/>
          <w:sz w:val="21"/>
        </w:rPr>
        <w:t>人。中期（3 - 5年），随着项目的发展，预计可以实现</w:t>
      </w:r>
      <w:r>
        <w:rPr>
          <w:rFonts w:ascii="等线" w:hAnsi="等线" w:eastAsia="等线"/>
          <w:b w:val="0"/>
          <w:sz w:val="21"/>
          <w:highlight w:val="yellow"/>
        </w:rPr>
        <w:t>[X]</w:t>
      </w:r>
      <w:r>
        <w:rPr>
          <w:rFonts w:ascii="等线" w:hAnsi="等线" w:eastAsia="等线"/>
          <w:b w:val="0"/>
          <w:sz w:val="21"/>
        </w:rPr>
        <w:t>美元的投资回报。长期（5年以上），银行在社会影响力投资方面的成功经验将有助于其在国际市场上树立良好的企业公民形象，增强国际竞争力。</w:t>
      </w:r>
    </w:p>
    <w:p>
      <w:pPr>
        <w:jc w:val="left"/>
      </w:pPr>
      <w:r>
        <w:rPr>
          <w:rFonts w:ascii="等线" w:hAnsi="等线" w:eastAsia="等线"/>
          <w:b w:val="0"/>
          <w:sz w:val="21"/>
        </w:rPr>
        <w:t>三、短期、中期和长期的定义及与公司战略规划和资源分配计划的匹配</w:t>
      </w:r>
    </w:p>
    <w:p>
      <w:pPr>
        <w:jc w:val="left"/>
      </w:pPr>
      <w:r>
        <w:rPr>
          <w:rFonts w:ascii="等线" w:hAnsi="等线" w:eastAsia="等线"/>
          <w:b w:val="0"/>
          <w:sz w:val="21"/>
        </w:rPr>
        <w:t>（一）定义1. 短期：指1 - 2年的时间范围，这一时期主要关注应对突发的可持续发展相关事件，如自然灾害对网点的影响，以及抓住市场上出现的短期绿色金融业务机会。2. 中期：3 - 5年，在这个时间段内，银行将逐步调整业务结构，如降低高碳行业贷款比例，增加绿色产业投资，同时提升内部管理能力以适应可持续发展的要求。3. 长期：5年以上，目标是在国际市场上成为可持续发展的领先银行，全面实现绿色金融转型，提升社会影响力，巩固国际市场份额。</w:t>
      </w:r>
    </w:p>
    <w:p>
      <w:pPr>
        <w:jc w:val="left"/>
      </w:pPr>
      <w:r>
        <w:rPr>
          <w:rFonts w:ascii="等线" w:hAnsi="等线" w:eastAsia="等线"/>
          <w:b w:val="0"/>
          <w:sz w:val="21"/>
        </w:rPr>
        <w:t>（二）与战略规划和资源分配计划的匹配1. 战略规划 - 在短期战略中，银行制定了应对气候变化物理风险的应急计划，如对沿海网点进行初步风险评估，并准备</w:t>
      </w:r>
      <w:r>
        <w:rPr>
          <w:rFonts w:ascii="等线" w:hAnsi="等线" w:eastAsia="等线"/>
          <w:b w:val="0"/>
          <w:sz w:val="21"/>
          <w:highlight w:val="yellow"/>
        </w:rPr>
        <w:t>[X]</w:t>
      </w:r>
      <w:r>
        <w:rPr>
          <w:rFonts w:ascii="等线" w:hAnsi="等线" w:eastAsia="等线"/>
          <w:b w:val="0"/>
          <w:sz w:val="21"/>
        </w:rPr>
        <w:t>美元的应急资金。中期战略侧重于调整投资组合，计划每年将</w:t>
      </w:r>
      <w:r>
        <w:rPr>
          <w:rFonts w:ascii="等线" w:hAnsi="等线" w:eastAsia="等线"/>
          <w:b w:val="0"/>
          <w:sz w:val="21"/>
          <w:highlight w:val="yellow"/>
        </w:rPr>
        <w:t>[X]</w:t>
      </w:r>
      <w:r>
        <w:rPr>
          <w:rFonts w:ascii="等线" w:hAnsi="等线" w:eastAsia="等线"/>
          <w:b w:val="0"/>
          <w:sz w:val="21"/>
        </w:rPr>
        <w:t>%的新增贷款投向绿色产业。长期战略则是将可持续发展理念融入银行的核心价值观，打造全球知名的可持续发展银行品牌。2. 资源分配计划 - 短期资源分配主要集中在风险监测和短期业务机会的开拓上，例如投入</w:t>
      </w:r>
      <w:r>
        <w:rPr>
          <w:rFonts w:ascii="等线" w:hAnsi="等线" w:eastAsia="等线"/>
          <w:b w:val="0"/>
          <w:sz w:val="21"/>
          <w:highlight w:val="yellow"/>
        </w:rPr>
        <w:t>[X]</w:t>
      </w:r>
      <w:r>
        <w:rPr>
          <w:rFonts w:ascii="等线" w:hAnsi="等线" w:eastAsia="等线"/>
          <w:b w:val="0"/>
          <w:sz w:val="21"/>
        </w:rPr>
        <w:t>美元用于研发气候变化风险监测模型，投入</w:t>
      </w:r>
      <w:r>
        <w:rPr>
          <w:rFonts w:ascii="等线" w:hAnsi="等线" w:eastAsia="等线"/>
          <w:b w:val="0"/>
          <w:sz w:val="21"/>
          <w:highlight w:val="yellow"/>
        </w:rPr>
        <w:t>[X]</w:t>
      </w:r>
      <w:r>
        <w:rPr>
          <w:rFonts w:ascii="等线" w:hAnsi="等线" w:eastAsia="等线"/>
          <w:b w:val="0"/>
          <w:sz w:val="21"/>
        </w:rPr>
        <w:t>美元用于推广绿色金融产品。中期资源分配将加大对员工培训的投入，预计投入</w:t>
      </w:r>
      <w:r>
        <w:rPr>
          <w:rFonts w:ascii="等线" w:hAnsi="等线" w:eastAsia="等线"/>
          <w:b w:val="0"/>
          <w:sz w:val="21"/>
          <w:highlight w:val="yellow"/>
        </w:rPr>
        <w:t>[X]</w:t>
      </w:r>
      <w:r>
        <w:rPr>
          <w:rFonts w:ascii="等线" w:hAnsi="等线" w:eastAsia="等线"/>
          <w:b w:val="0"/>
          <w:sz w:val="21"/>
        </w:rPr>
        <w:t>美元，以提升员工对可持续发展业务的专业能力，同时投入</w:t>
      </w:r>
      <w:r>
        <w:rPr>
          <w:rFonts w:ascii="等线" w:hAnsi="等线" w:eastAsia="等线"/>
          <w:b w:val="0"/>
          <w:sz w:val="21"/>
          <w:highlight w:val="yellow"/>
        </w:rPr>
        <w:t>[X]</w:t>
      </w:r>
      <w:r>
        <w:rPr>
          <w:rFonts w:ascii="等线" w:hAnsi="等线" w:eastAsia="等线"/>
          <w:b w:val="0"/>
          <w:sz w:val="21"/>
        </w:rPr>
        <w:t>美元用于绿色产业研究。长期资源分配将侧重于国际市场的品牌建设和社会责任履行，如每年投入</w:t>
      </w:r>
      <w:r>
        <w:rPr>
          <w:rFonts w:ascii="等线" w:hAnsi="等线" w:eastAsia="等线"/>
          <w:b w:val="0"/>
          <w:sz w:val="21"/>
          <w:highlight w:val="yellow"/>
        </w:rPr>
        <w:t>[X]</w:t>
      </w:r>
      <w:r>
        <w:rPr>
          <w:rFonts w:ascii="等线" w:hAnsi="等线" w:eastAsia="等线"/>
          <w:b w:val="0"/>
          <w:sz w:val="21"/>
        </w:rPr>
        <w:t>美元用于国际公益项目。</w:t>
      </w:r>
    </w:p>
    <w:p>
      <w:pPr>
        <w:jc w:val="left"/>
      </w:pPr>
      <w:r>
        <w:rPr>
          <w:rFonts w:ascii="等线" w:hAnsi="等线" w:eastAsia="等线"/>
          <w:b w:val="0"/>
          <w:sz w:val="21"/>
        </w:rPr>
        <w:t>四、公司对经济、社会、环境的重大影响识别及应对措施</w:t>
      </w:r>
    </w:p>
    <w:p>
      <w:pPr>
        <w:jc w:val="left"/>
      </w:pPr>
      <w:r>
        <w:rPr>
          <w:rFonts w:ascii="等线" w:hAnsi="等线" w:eastAsia="等线"/>
          <w:b w:val="0"/>
          <w:sz w:val="21"/>
        </w:rPr>
        <w:t>（一）重大影响识别1.经济方面- 通过金融服务，银行对宏观经济有着重要的影响。例如，银行的信贷政策影响企业的投资和发展。如果银行收紧对某一行业的信贷，可能导致该行业的投资减少，影响GDP增长。据估计，银行对某一特定行业的信贷规模每减少</w:t>
      </w:r>
      <w:r>
        <w:rPr>
          <w:rFonts w:ascii="等线" w:hAnsi="等线" w:eastAsia="等线"/>
          <w:b w:val="0"/>
          <w:sz w:val="21"/>
          <w:highlight w:val="yellow"/>
        </w:rPr>
        <w:t>[X]</w:t>
      </w:r>
      <w:r>
        <w:rPr>
          <w:rFonts w:ascii="等线" w:hAnsi="等线" w:eastAsia="等线"/>
          <w:b w:val="0"/>
          <w:sz w:val="21"/>
        </w:rPr>
        <w:t>美元，可能会使该行业的GDP贡献减少</w:t>
      </w:r>
      <w:r>
        <w:rPr>
          <w:rFonts w:ascii="等线" w:hAnsi="等线" w:eastAsia="等线"/>
          <w:b w:val="0"/>
          <w:sz w:val="21"/>
          <w:highlight w:val="yellow"/>
        </w:rPr>
        <w:t>[X]</w:t>
      </w:r>
      <w:r>
        <w:rPr>
          <w:rFonts w:ascii="等线" w:hAnsi="等线" w:eastAsia="等线"/>
          <w:b w:val="0"/>
          <w:sz w:val="21"/>
        </w:rPr>
        <w:t>%。2.社会方面- 银行的社会活动，如小额信贷项目，有助于提高低收入群体的生活水平。在某地区开展的小额信贷项目，已累计为</w:t>
      </w:r>
      <w:r>
        <w:rPr>
          <w:rFonts w:ascii="等线" w:hAnsi="等线" w:eastAsia="等线"/>
          <w:b w:val="0"/>
          <w:sz w:val="21"/>
          <w:highlight w:val="yellow"/>
        </w:rPr>
        <w:t>[X]</w:t>
      </w:r>
      <w:r>
        <w:rPr>
          <w:rFonts w:ascii="等线" w:hAnsi="等线" w:eastAsia="等线"/>
          <w:b w:val="0"/>
          <w:sz w:val="21"/>
        </w:rPr>
        <w:t>户低收入家庭提供了融资支持，帮助</w:t>
      </w:r>
      <w:r>
        <w:rPr>
          <w:rFonts w:ascii="等线" w:hAnsi="等线" w:eastAsia="等线"/>
          <w:b w:val="0"/>
          <w:sz w:val="21"/>
          <w:highlight w:val="yellow"/>
        </w:rPr>
        <w:t>[X]</w:t>
      </w:r>
      <w:r>
        <w:rPr>
          <w:rFonts w:ascii="等线" w:hAnsi="等线" w:eastAsia="等线"/>
          <w:b w:val="0"/>
          <w:sz w:val="21"/>
        </w:rPr>
        <w:t>人实现了创业或就业，对当地的社会稳定和经济发展起到了积极的推动作用。3.环境方面- 银行的绿色金融业务对环境有着积极的影响。通过为可再生能源项目提供融资，银行间接促进了清洁能源的发展。例如，银行对某一大型太阳能发电项目的贷款支持，使得该项目得以顺利建设，预计每年可减少二氧化碳排放</w:t>
      </w:r>
      <w:r>
        <w:rPr>
          <w:rFonts w:ascii="等线" w:hAnsi="等线" w:eastAsia="等线"/>
          <w:b w:val="0"/>
          <w:sz w:val="21"/>
          <w:highlight w:val="yellow"/>
        </w:rPr>
        <w:t>[X]</w:t>
      </w:r>
      <w:r>
        <w:rPr>
          <w:rFonts w:ascii="等线" w:hAnsi="等线" w:eastAsia="等线"/>
          <w:b w:val="0"/>
          <w:sz w:val="21"/>
        </w:rPr>
        <w:t>吨。</w:t>
      </w:r>
    </w:p>
    <w:p>
      <w:pPr>
        <w:jc w:val="left"/>
      </w:pPr>
      <w:r>
        <w:rPr>
          <w:rFonts w:ascii="等线" w:hAnsi="等线" w:eastAsia="等线"/>
          <w:b w:val="0"/>
          <w:sz w:val="21"/>
        </w:rPr>
        <w:t>（二）应对措施1.监测措施- 建立了经济、社会、环境影响监测体系。在经济方面，每月对主要行业的信贷数据进行分析，以评估对经济的影响。在社会方面，定期对小额信贷项目的受益人群进行回访，了解项目效果。在环境方面，与专业机构合作，每年对绿色金融项目的环境效益进行评估。2.预防和管理措施- 在经济方面，制定了行业信贷风险预警机制，当某一行业的风险指标达到预警值时，及时调整信贷政策。在社会方面，对小额信贷项目进行严格的风险评估和管理，确保资金安全和项目可持续性。在环境方面，建立了绿色金融项目筛选标准，只对符合环境标准的项目提供融资。3.减缓措施- 在经济方面，如果银行的信贷调整对某一行业造成较大冲击，将与政府和企业合作，制定产业转型支持计划，如提供优惠贷款等。在社会方面，对于受到小额信贷项目失败影响的客户，提供再融资支持或债务重组方案。在环境方面，对绿色金融项目进行定期检查，要求企业采取措施解决项目运营过程中出现的环境问题。</w:t>
      </w:r>
    </w:p>
    <w:p>
      <w:pPr>
        <w:pStyle w:val="Heading2"/>
      </w:pPr>
      <w:r>
        <w:rPr>
          <w:rFonts w:ascii="等线" w:hAnsi="等线" w:eastAsia="等线"/>
          <w:color w:val="000000"/>
          <w:sz w:val="32"/>
        </w:rPr>
        <w:t>战略与决策应对</w:t>
      </w:r>
    </w:p>
    <w:p>
      <w:pPr>
        <w:jc w:val="left"/>
      </w:pPr>
      <w:r>
        <w:rPr>
          <w:rFonts w:ascii="等线" w:hAnsi="等线" w:eastAsia="等线"/>
          <w:b w:val="0"/>
          <w:sz w:val="21"/>
        </w:rPr>
        <w:t>在应对可持续发展相关影响、风险和机遇方面，本大型国有银行业企业在战略制定和重大决策过程中采用了一系列严谨且有效的方法。</w:t>
      </w:r>
    </w:p>
    <w:p>
      <w:pPr>
        <w:jc w:val="left"/>
      </w:pPr>
      <w:r>
        <w:rPr>
          <w:rFonts w:ascii="等线" w:hAnsi="等线" w:eastAsia="等线"/>
          <w:b w:val="0"/>
          <w:sz w:val="21"/>
        </w:rPr>
        <w:t>一、战略决策机制与管理办法</w:t>
      </w:r>
    </w:p>
    <w:p>
      <w:pPr>
        <w:jc w:val="left"/>
      </w:pPr>
      <w:r>
        <w:rPr>
          <w:rFonts w:ascii="等线" w:hAnsi="等线" w:eastAsia="等线"/>
          <w:b w:val="0"/>
          <w:sz w:val="21"/>
        </w:rPr>
        <w:t>1. 决策机制</w:t>
      </w:r>
    </w:p>
    <w:p>
      <w:pPr>
        <w:jc w:val="left"/>
      </w:pPr>
      <w:r>
        <w:rPr>
          <w:rFonts w:ascii="等线" w:hAnsi="等线" w:eastAsia="等线"/>
          <w:b w:val="0"/>
          <w:sz w:val="21"/>
        </w:rPr>
        <w:t>2. 建立了跨部门的可持续发展战略决策委员会。该委员会成员涵盖风险管理、业务拓展、金融研究等多个部门的专家，每季度定期召开会议。在会议中，各部门根据自身业务数据和市场调研情况，对可持续发展相关影响、风险和机遇进行深入分析。例如，风险管理部门会依据近三年来环境风险敞口数据（以美元为单位），分析气候变化对信贷资产质量的潜在影响。业务拓展部门则根据国际市场新兴绿色产业的发展趋势（通过对全球新兴绿色产业市场规模的统计，以亿美元为单位），提出业务调整的建议。</w:t>
      </w:r>
    </w:p>
    <w:p>
      <w:pPr>
        <w:jc w:val="left"/>
      </w:pPr>
      <w:r>
        <w:rPr>
          <w:rFonts w:ascii="等线" w:hAnsi="等线" w:eastAsia="等线"/>
          <w:b w:val="0"/>
          <w:sz w:val="21"/>
        </w:rPr>
        <w:t>3. 在决策流程方面，采用分层决策模式。对于涉及可持续发展的一般性决策，由部门经理层根据既定的评估指标体系进行初步判断。例如，对于单笔金额小于1000万美元的绿色信贷项目审批，部门经理依据项目的环境效益指标（如预计减少的二氧化碳排放量，以吨为单位）和经济效益指标（如内部收益率，以百分比表示）进行审核。而对于重大决策，如涉及超过1亿美元的可持续发展战略投资项目，则需经过战略决策委员会的审议，并最终由董事会批准。</w:t>
      </w:r>
    </w:p>
    <w:p>
      <w:pPr>
        <w:jc w:val="left"/>
      </w:pPr>
      <w:r>
        <w:rPr>
          <w:rFonts w:ascii="等线" w:hAnsi="等线" w:eastAsia="等线"/>
          <w:b w:val="0"/>
          <w:sz w:val="21"/>
        </w:rPr>
        <w:t>4. 管理办法</w:t>
      </w:r>
    </w:p>
    <w:p>
      <w:pPr>
        <w:jc w:val="left"/>
      </w:pPr>
      <w:r>
        <w:rPr>
          <w:rFonts w:ascii="等线" w:hAnsi="等线" w:eastAsia="等线"/>
          <w:b w:val="0"/>
          <w:sz w:val="21"/>
        </w:rPr>
        <w:t>5. 制定了《可持续发展风险管理办法》，明确规定了对可持续发展相关风险的识别、评估和应对流程。例如，在识别环境风险时，要求对每个信贷项目的环境影响进行量化评估，根据项目所在行业的平均污染排放水平（以每单位产量的污染物排放量，如千克/吨产品为单位），确定风险等级。对于高风险项目，要求追加10% - 20%的风险准备金（以美元为单位）。</w:t>
      </w:r>
    </w:p>
    <w:p>
      <w:pPr>
        <w:jc w:val="left"/>
      </w:pPr>
      <w:r>
        <w:rPr>
          <w:rFonts w:ascii="等线" w:hAnsi="等线" w:eastAsia="等线"/>
          <w:b w:val="0"/>
          <w:sz w:val="21"/>
        </w:rPr>
        <w:t>6. 同时，出台了《可持续发展机遇捕捉与业务创新管理办法》，鼓励各部门积极挖掘可持续发展带来的业务机遇。例如，对于成功开拓新的绿色金融产品市场的部门，给予年度绩效奖金5% - 10%的额外奖励（以美元为单位）。</w:t>
      </w:r>
    </w:p>
    <w:p>
      <w:pPr>
        <w:jc w:val="left"/>
      </w:pPr>
      <w:r>
        <w:rPr>
          <w:rFonts w:ascii="等线" w:hAnsi="等线" w:eastAsia="等线"/>
          <w:b w:val="0"/>
          <w:sz w:val="21"/>
        </w:rPr>
        <w:t>二、战略目标计划及进展衡量</w:t>
      </w:r>
    </w:p>
    <w:p>
      <w:pPr>
        <w:jc w:val="left"/>
      </w:pPr>
      <w:r>
        <w:rPr>
          <w:rFonts w:ascii="等线" w:hAnsi="等线" w:eastAsia="等线"/>
          <w:b w:val="0"/>
          <w:sz w:val="21"/>
        </w:rPr>
        <w:t>1. 战略目标计划</w:t>
      </w:r>
    </w:p>
    <w:p>
      <w:pPr>
        <w:jc w:val="left"/>
      </w:pPr>
      <w:r>
        <w:rPr>
          <w:rFonts w:ascii="等线" w:hAnsi="等线" w:eastAsia="等线"/>
          <w:b w:val="0"/>
          <w:sz w:val="21"/>
        </w:rPr>
        <w:t>2. 设定了在未来五年内将绿色信贷占总信贷规模的比例提高到30%的目标（目前为20%）。同时，计划在三年内推出至少5种创新性的可持续金融产品，如绿色债券指数基金、碳减排挂钩理财产品等。</w:t>
      </w:r>
    </w:p>
    <w:p>
      <w:pPr>
        <w:jc w:val="left"/>
      </w:pPr>
      <w:r>
        <w:rPr>
          <w:rFonts w:ascii="等线" w:hAnsi="等线" w:eastAsia="等线"/>
          <w:b w:val="0"/>
          <w:sz w:val="21"/>
        </w:rPr>
        <w:t>3. 目标是到2025年，将对高污染、高能耗行业的信贷规模降低20%（以美元为单位），同时将对可再生能源、环保产业等可持续发展重点领域的信贷支持规模提高50%（以美元为单位）。</w:t>
      </w:r>
    </w:p>
    <w:p>
      <w:pPr>
        <w:jc w:val="left"/>
      </w:pPr>
      <w:r>
        <w:rPr>
          <w:rFonts w:ascii="等线" w:hAnsi="等线" w:eastAsia="等线"/>
          <w:b w:val="0"/>
          <w:sz w:val="21"/>
        </w:rPr>
        <w:t>4. 进展衡量</w:t>
      </w:r>
    </w:p>
    <w:p>
      <w:pPr>
        <w:jc w:val="left"/>
      </w:pPr>
      <w:r>
        <w:rPr>
          <w:rFonts w:ascii="等线" w:hAnsi="等线" w:eastAsia="等线"/>
          <w:b w:val="0"/>
          <w:sz w:val="21"/>
        </w:rPr>
        <w:t>5. 截至目前，绿色信贷占总信贷规模的比例已经从20%提升到了22%，按照目前的业务拓展速度，预计每年可提升1 - 1.5个百分点。在创新性可持续金融产品方面，已经成功推出了2种新产品，距离三年推出5种的目标还有一定差距，但产品研发部门表示正在按计划推进另外3种产品的研发工作，其中一种预计在明年上半年推出。</w:t>
      </w:r>
    </w:p>
    <w:p>
      <w:pPr>
        <w:jc w:val="left"/>
      </w:pPr>
      <w:r>
        <w:rPr>
          <w:rFonts w:ascii="等线" w:hAnsi="等线" w:eastAsia="等线"/>
          <w:b w:val="0"/>
          <w:sz w:val="21"/>
        </w:rPr>
        <w:t>6. 在对高污染、高能耗行业的信贷规模方面，已经降低了5%（以美元为单位），而对可再生能源、环保产业等领域的信贷支持规模已经提高了20%（以美元为单位）。</w:t>
      </w:r>
    </w:p>
    <w:p>
      <w:pPr>
        <w:jc w:val="left"/>
      </w:pPr>
      <w:r>
        <w:rPr>
          <w:rFonts w:ascii="等线" w:hAnsi="等线" w:eastAsia="等线"/>
          <w:b w:val="0"/>
          <w:sz w:val="21"/>
        </w:rPr>
        <w:t>三、可持续发展影响、风险和机遇的评估判断</w:t>
      </w:r>
    </w:p>
    <w:p>
      <w:pPr>
        <w:jc w:val="left"/>
      </w:pPr>
      <w:r>
        <w:rPr>
          <w:rFonts w:ascii="等线" w:hAnsi="等线" w:eastAsia="等线"/>
          <w:b w:val="0"/>
          <w:sz w:val="21"/>
        </w:rPr>
        <w:t>1. 影响评估</w:t>
      </w:r>
    </w:p>
    <w:p>
      <w:pPr>
        <w:jc w:val="left"/>
      </w:pPr>
      <w:r>
        <w:rPr>
          <w:rFonts w:ascii="等线" w:hAnsi="等线" w:eastAsia="等线"/>
          <w:b w:val="0"/>
          <w:sz w:val="21"/>
        </w:rPr>
        <w:t>2. 通过对全球宏观经济数据（如全球GDP增长率、主要经济体的产业结构调整数据等）和行业数据（如国际银行业绿色信贷平均增长率、全球可持续发展相关政策法规的影响范围等）的分析，评估可持续发展对本企业的影响。例如，预计未来十年内，随着全球对气候变化的关注度不断提高，环境法规日益严格，本企业如果不能有效调整信贷结构，可能面临高达10亿美元的资产减值风险（以美元为单位）。</w:t>
      </w:r>
    </w:p>
    <w:p>
      <w:pPr>
        <w:jc w:val="left"/>
      </w:pPr>
      <w:r>
        <w:rPr>
          <w:rFonts w:ascii="等线" w:hAnsi="等线" w:eastAsia="等线"/>
          <w:b w:val="0"/>
          <w:sz w:val="21"/>
        </w:rPr>
        <w:t>3. 风险评估</w:t>
      </w:r>
    </w:p>
    <w:p>
      <w:pPr>
        <w:jc w:val="left"/>
      </w:pPr>
      <w:r>
        <w:rPr>
          <w:rFonts w:ascii="等线" w:hAnsi="等线" w:eastAsia="等线"/>
          <w:b w:val="0"/>
          <w:sz w:val="21"/>
        </w:rPr>
        <w:t>4. 识别出的主要风险包括政策风险、市场风险和声誉风险。在政策风险方面，不同国家和地区的可持续发展政策差异较大。例如，欧洲地区的碳税政策（以欧元/吨二氧化碳为单位）可能会影响到本企业在欧洲市场的部分高碳排企业客户的偿债能力，初步评估该风险可能导致本企业在欧洲市场的信贷损失风险敞口约为5亿美元（以美元为单位）。</w:t>
      </w:r>
    </w:p>
    <w:p>
      <w:pPr>
        <w:jc w:val="left"/>
      </w:pPr>
      <w:r>
        <w:rPr>
          <w:rFonts w:ascii="等线" w:hAnsi="等线" w:eastAsia="等线"/>
          <w:b w:val="0"/>
          <w:sz w:val="21"/>
        </w:rPr>
        <w:t>5. 在市场风险方面，随着绿色金融市场的竞争加剧，如果本企业不能及时推出具有竞争力的可持续金融产品，可能会导致市场份额下降。根据市场调研机构的数据，目前本企业在国际绿色金融市场的份额为10%，如果不能有效应对市场风险，预计每年市场份额可能下降1 - 2个百分点。</w:t>
      </w:r>
    </w:p>
    <w:p>
      <w:pPr>
        <w:jc w:val="left"/>
      </w:pPr>
      <w:r>
        <w:rPr>
          <w:rFonts w:ascii="等线" w:hAnsi="等线" w:eastAsia="等线"/>
          <w:b w:val="0"/>
          <w:sz w:val="21"/>
        </w:rPr>
        <w:t>6. 在声誉风险方面，一旦被国际社会发现本企业对高污染企业的信贷支持不符合可持续发展理念，可能会导致企业声誉受损，进而影响到国际业务拓展。通过对国际媒体报道影响力的量化分析（以媒体报道的传播范围、受众数量等指标为依据），估计声誉受损可能导致本企业国际业务收入减少1 - 2亿美元（以美元为单位）。</w:t>
      </w:r>
    </w:p>
    <w:p>
      <w:pPr>
        <w:jc w:val="left"/>
      </w:pPr>
      <w:r>
        <w:rPr>
          <w:rFonts w:ascii="等线" w:hAnsi="等线" w:eastAsia="等线"/>
          <w:b w:val="0"/>
          <w:sz w:val="21"/>
        </w:rPr>
        <w:t>7. 机遇评估</w:t>
      </w:r>
    </w:p>
    <w:p>
      <w:pPr>
        <w:jc w:val="left"/>
      </w:pPr>
      <w:r>
        <w:rPr>
          <w:rFonts w:ascii="等线" w:hAnsi="等线" w:eastAsia="等线"/>
          <w:b w:val="0"/>
          <w:sz w:val="21"/>
        </w:rPr>
        <w:t>8. 随着全球可持续发展意识的增强，绿色金融市场呈现出快速增长的趋势。根据国际金融市场研究机构的数据，全球绿色金融市场规模预计将以每年15% - 20%的速度增长（以美元为单位）。本企业如果能够抓住机遇，积极拓展绿色金融业务，预计到2030年，绿色金融业务收入将从目前的10亿美元（以美元为单位）增长到30亿美元（以美元为单位）。</w:t>
      </w:r>
    </w:p>
    <w:p>
      <w:pPr>
        <w:jc w:val="left"/>
      </w:pPr>
      <w:r>
        <w:rPr>
          <w:rFonts w:ascii="等线" w:hAnsi="等线" w:eastAsia="等线"/>
          <w:b w:val="0"/>
          <w:sz w:val="21"/>
        </w:rPr>
        <w:t>9. 另外，在新兴的可持续发展领域，如碳交易金融服务方面，目前国际市场处于起步阶段，本企业如果能够率先布局，有望在未来五年内占据该细分市场15% - 20%的份额（以市场份额百分比表示），预计带来的潜在收入将达到5 - 8亿美元（以美元为单位）。</w:t>
      </w:r>
    </w:p>
    <w:p>
      <w:pPr>
        <w:pStyle w:val="Heading2"/>
      </w:pPr>
      <w:r>
        <w:rPr>
          <w:rFonts w:ascii="等线" w:hAnsi="等线" w:eastAsia="等线"/>
          <w:color w:val="000000"/>
          <w:sz w:val="32"/>
        </w:rPr>
        <w:t>财务影响</w:t>
      </w:r>
    </w:p>
    <w:p>
      <w:pPr>
        <w:jc w:val="left"/>
      </w:pPr>
      <w:r>
        <w:rPr>
          <w:rFonts w:ascii="等线" w:hAnsi="等线" w:eastAsia="等线"/>
          <w:b w:val="0"/>
          <w:sz w:val="21"/>
        </w:rPr>
        <w:t>一、可持续发展相关风险和机遇对当期财务状况、经营成果、现金流的影响</w:t>
      </w:r>
    </w:p>
    <w:p>
      <w:pPr>
        <w:jc w:val="left"/>
      </w:pPr>
      <w:r>
        <w:rPr>
          <w:rFonts w:ascii="等线" w:hAnsi="等线" w:eastAsia="等线"/>
          <w:b w:val="0"/>
          <w:sz w:val="21"/>
        </w:rPr>
        <w:t>（一）财务状况1.资产方面- 可持续发展相关风险，如环境法规趋严可能导致部分高污染行业的贷款资产质量下降。以特定高污染行业贷款占总资产的比例为例，若该比例为</w:t>
      </w:r>
      <w:r>
        <w:rPr>
          <w:rFonts w:ascii="等线" w:hAnsi="等线" w:eastAsia="等线"/>
          <w:b w:val="0"/>
          <w:sz w:val="21"/>
          <w:highlight w:val="yellow"/>
        </w:rPr>
        <w:t>[X]</w:t>
      </w:r>
      <w:r>
        <w:rPr>
          <w:rFonts w:ascii="等线" w:hAnsi="等线" w:eastAsia="等线"/>
          <w:b w:val="0"/>
          <w:sz w:val="21"/>
        </w:rPr>
        <w:t>%，由于环境法规影响，可能面临</w:t>
      </w:r>
      <w:r>
        <w:rPr>
          <w:rFonts w:ascii="等线" w:hAnsi="等线" w:eastAsia="等线"/>
          <w:b w:val="0"/>
          <w:sz w:val="21"/>
          <w:highlight w:val="yellow"/>
        </w:rPr>
        <w:t>[X]</w:t>
      </w:r>
      <w:r>
        <w:rPr>
          <w:rFonts w:ascii="等线" w:hAnsi="等线" w:eastAsia="等线"/>
          <w:b w:val="0"/>
          <w:sz w:val="21"/>
        </w:rPr>
        <w:t>%的减值风险。 - 机遇方面，对绿色产业的投资增加了优质资产。例如，绿色能源项目贷款在总资产中的占比从</w:t>
      </w:r>
      <w:r>
        <w:rPr>
          <w:rFonts w:ascii="等线" w:hAnsi="等线" w:eastAsia="等线"/>
          <w:b w:val="0"/>
          <w:sz w:val="21"/>
          <w:highlight w:val="yellow"/>
        </w:rPr>
        <w:t>[X]</w:t>
      </w:r>
      <w:r>
        <w:rPr>
          <w:rFonts w:ascii="等线" w:hAnsi="等线" w:eastAsia="等线"/>
          <w:b w:val="0"/>
          <w:sz w:val="21"/>
        </w:rPr>
        <w:t>%增长到</w:t>
      </w:r>
      <w:r>
        <w:rPr>
          <w:rFonts w:ascii="等线" w:hAnsi="等线" w:eastAsia="等线"/>
          <w:b w:val="0"/>
          <w:sz w:val="21"/>
          <w:highlight w:val="yellow"/>
        </w:rPr>
        <w:t>[X]</w:t>
      </w:r>
      <w:r>
        <w:rPr>
          <w:rFonts w:ascii="等线" w:hAnsi="等线" w:eastAsia="等线"/>
          <w:b w:val="0"/>
          <w:sz w:val="21"/>
        </w:rPr>
        <w:t>%，提升了资产的可持续性和长期价值。2.负债方面- 风险在于，如果未能满足可持续发展相关的融资条件，可能面临更高的融资成本。目前，由于部分业务在可持续发展指标上表现不佳，特定债券融资的利率较市场平均水平高出</w:t>
      </w:r>
      <w:r>
        <w:rPr>
          <w:rFonts w:ascii="等线" w:hAnsi="等线" w:eastAsia="等线"/>
          <w:b w:val="0"/>
          <w:sz w:val="21"/>
          <w:highlight w:val="yellow"/>
        </w:rPr>
        <w:t>[X]</w:t>
      </w:r>
      <w:r>
        <w:rPr>
          <w:rFonts w:ascii="等线" w:hAnsi="等线" w:eastAsia="等线"/>
          <w:b w:val="0"/>
          <w:sz w:val="21"/>
        </w:rPr>
        <w:t>个基点。 - 机遇是通过发行绿色债券等可持续融资工具，优化负债结构。已发行的绿色债券金额达到</w:t>
      </w:r>
      <w:r>
        <w:rPr>
          <w:rFonts w:ascii="等线" w:hAnsi="等线" w:eastAsia="等线"/>
          <w:b w:val="0"/>
          <w:sz w:val="21"/>
          <w:highlight w:val="yellow"/>
        </w:rPr>
        <w:t>[X]</w:t>
      </w:r>
      <w:r>
        <w:rPr>
          <w:rFonts w:ascii="等线" w:hAnsi="等线" w:eastAsia="等线"/>
          <w:b w:val="0"/>
          <w:sz w:val="21"/>
        </w:rPr>
        <w:t>亿美元，占总负债的</w:t>
      </w:r>
      <w:r>
        <w:rPr>
          <w:rFonts w:ascii="等线" w:hAnsi="等线" w:eastAsia="等线"/>
          <w:b w:val="0"/>
          <w:sz w:val="21"/>
          <w:highlight w:val="yellow"/>
        </w:rPr>
        <w:t>[X]</w:t>
      </w:r>
      <w:r>
        <w:rPr>
          <w:rFonts w:ascii="等线" w:hAnsi="等线" w:eastAsia="等线"/>
          <w:b w:val="0"/>
          <w:sz w:val="21"/>
        </w:rPr>
        <w:t>%，降低了整体负债成本。</w:t>
      </w:r>
    </w:p>
    <w:p>
      <w:pPr>
        <w:jc w:val="left"/>
      </w:pPr>
      <w:r>
        <w:rPr>
          <w:rFonts w:ascii="等线" w:hAnsi="等线" w:eastAsia="等线"/>
          <w:b w:val="0"/>
          <w:sz w:val="21"/>
        </w:rPr>
        <w:t>（二）经营成果1.收入- 风险方面，因对高碳排企业的业务收缩，相关利息收入减少。例如，从高碳排企业获得的利息收入占总利息收入的比例从</w:t>
      </w:r>
      <w:r>
        <w:rPr>
          <w:rFonts w:ascii="等线" w:hAnsi="等线" w:eastAsia="等线"/>
          <w:b w:val="0"/>
          <w:sz w:val="21"/>
          <w:highlight w:val="yellow"/>
        </w:rPr>
        <w:t>[X]</w:t>
      </w:r>
      <w:r>
        <w:rPr>
          <w:rFonts w:ascii="等线" w:hAnsi="等线" w:eastAsia="等线"/>
          <w:b w:val="0"/>
          <w:sz w:val="21"/>
        </w:rPr>
        <w:t>%下降到</w:t>
      </w:r>
      <w:r>
        <w:rPr>
          <w:rFonts w:ascii="等线" w:hAnsi="等线" w:eastAsia="等线"/>
          <w:b w:val="0"/>
          <w:sz w:val="21"/>
          <w:highlight w:val="yellow"/>
        </w:rPr>
        <w:t>[X]</w:t>
      </w:r>
      <w:r>
        <w:rPr>
          <w:rFonts w:ascii="等线" w:hAnsi="等线" w:eastAsia="等线"/>
          <w:b w:val="0"/>
          <w:sz w:val="21"/>
        </w:rPr>
        <w:t>%。 - 机遇在于，绿色金融业务带来新的收入增长点。绿色项目贷款利息收入和绿色金融服务手续费收入在总营业收入中的占比达到</w:t>
      </w:r>
      <w:r>
        <w:rPr>
          <w:rFonts w:ascii="等线" w:hAnsi="等线" w:eastAsia="等线"/>
          <w:b w:val="0"/>
          <w:sz w:val="21"/>
          <w:highlight w:val="yellow"/>
        </w:rPr>
        <w:t>[X]</w:t>
      </w:r>
      <w:r>
        <w:rPr>
          <w:rFonts w:ascii="等线" w:hAnsi="等线" w:eastAsia="等线"/>
          <w:b w:val="0"/>
          <w:sz w:val="21"/>
        </w:rPr>
        <w:t>%。2.成本- 应对可持续发展风险，如加强环境和社会风险管理增加了运营成本。投入的风险管理成本约为</w:t>
      </w:r>
      <w:r>
        <w:rPr>
          <w:rFonts w:ascii="等线" w:hAnsi="等线" w:eastAsia="等线"/>
          <w:b w:val="0"/>
          <w:sz w:val="21"/>
          <w:highlight w:val="yellow"/>
        </w:rPr>
        <w:t>[X]</w:t>
      </w:r>
      <w:r>
        <w:rPr>
          <w:rFonts w:ascii="等线" w:hAnsi="等线" w:eastAsia="等线"/>
          <w:b w:val="0"/>
          <w:sz w:val="21"/>
        </w:rPr>
        <w:t>百万美元。 - 但从长期看，通过提高效率和减少潜在损失，有助于降低整体成本。</w:t>
      </w:r>
    </w:p>
    <w:p>
      <w:pPr>
        <w:jc w:val="left"/>
      </w:pPr>
      <w:r>
        <w:rPr>
          <w:rFonts w:ascii="等线" w:hAnsi="等线" w:eastAsia="等线"/>
          <w:b w:val="0"/>
          <w:sz w:val="21"/>
        </w:rPr>
        <w:t>（三）现金流1.经营活动现金流- 风险使得部分传统业务的现金流入减少。例如，对高污染行业的贷款回收速度减缓，影响经营活动现金流入量约</w:t>
      </w:r>
      <w:r>
        <w:rPr>
          <w:rFonts w:ascii="等线" w:hAnsi="等线" w:eastAsia="等线"/>
          <w:b w:val="0"/>
          <w:sz w:val="21"/>
          <w:highlight w:val="yellow"/>
        </w:rPr>
        <w:t>[X]</w:t>
      </w:r>
      <w:r>
        <w:rPr>
          <w:rFonts w:ascii="等线" w:hAnsi="等线" w:eastAsia="等线"/>
          <w:b w:val="0"/>
          <w:sz w:val="21"/>
        </w:rPr>
        <w:t>百万美元。 - 机遇方面，绿色项目的贷款发放和回收较为稳定，为经营活动现金流提供了稳定的来源。2.投资活动现金流- 对可持续发展项目的投资增加了投资活动现金流出，如对绿色能源项目的投资达</w:t>
      </w:r>
      <w:r>
        <w:rPr>
          <w:rFonts w:ascii="等线" w:hAnsi="等线" w:eastAsia="等线"/>
          <w:b w:val="0"/>
          <w:sz w:val="21"/>
          <w:highlight w:val="yellow"/>
        </w:rPr>
        <w:t>[X]</w:t>
      </w:r>
      <w:r>
        <w:rPr>
          <w:rFonts w:ascii="等线" w:hAnsi="等线" w:eastAsia="等线"/>
          <w:b w:val="0"/>
          <w:sz w:val="21"/>
        </w:rPr>
        <w:t>亿美元。 - 但长期来看，这些投资有望带来稳定的现金流入。3.融资活动现金流- 发行绿色债券等可持续融资工具增加了融资活动现金流入，金额为</w:t>
      </w:r>
      <w:r>
        <w:rPr>
          <w:rFonts w:ascii="等线" w:hAnsi="等线" w:eastAsia="等线"/>
          <w:b w:val="0"/>
          <w:sz w:val="21"/>
          <w:highlight w:val="yellow"/>
        </w:rPr>
        <w:t>[X]</w:t>
      </w:r>
      <w:r>
        <w:rPr>
          <w:rFonts w:ascii="等线" w:hAnsi="等线" w:eastAsia="等线"/>
          <w:b w:val="0"/>
          <w:sz w:val="21"/>
        </w:rPr>
        <w:t>亿美元。</w:t>
      </w:r>
    </w:p>
    <w:p>
      <w:pPr>
        <w:jc w:val="left"/>
      </w:pPr>
      <w:r>
        <w:rPr>
          <w:rFonts w:ascii="等线" w:hAnsi="等线" w:eastAsia="等线"/>
          <w:b w:val="0"/>
          <w:sz w:val="21"/>
        </w:rPr>
        <w:t>二、对下一年度财务状况、经营成果、现金流的影响</w:t>
      </w:r>
    </w:p>
    <w:p>
      <w:pPr>
        <w:jc w:val="left"/>
      </w:pPr>
      <w:r>
        <w:rPr>
          <w:rFonts w:ascii="等线" w:hAnsi="等线" w:eastAsia="等线"/>
          <w:b w:val="0"/>
          <w:sz w:val="21"/>
        </w:rPr>
        <w:t>（一）财务状况1.资产- 计划增加对绿色基础设施项目的投资，预计下一年度绿色项目相关资产占总资产的比例将提升</w:t>
      </w:r>
      <w:r>
        <w:rPr>
          <w:rFonts w:ascii="等线" w:hAnsi="等线" w:eastAsia="等线"/>
          <w:b w:val="0"/>
          <w:sz w:val="21"/>
          <w:highlight w:val="yellow"/>
        </w:rPr>
        <w:t>[X]</w:t>
      </w:r>
      <w:r>
        <w:rPr>
          <w:rFonts w:ascii="等线" w:hAnsi="等线" w:eastAsia="等线"/>
          <w:b w:val="0"/>
          <w:sz w:val="21"/>
        </w:rPr>
        <w:t>%。2.负债- 可能继续发行绿色债券，预计下一年度绿色债券占总负债的比例将达到</w:t>
      </w:r>
      <w:r>
        <w:rPr>
          <w:rFonts w:ascii="等线" w:hAnsi="等线" w:eastAsia="等线"/>
          <w:b w:val="0"/>
          <w:sz w:val="21"/>
          <w:highlight w:val="yellow"/>
        </w:rPr>
        <w:t>[X]</w:t>
      </w:r>
      <w:r>
        <w:rPr>
          <w:rFonts w:ascii="等线" w:hAnsi="等线" w:eastAsia="等线"/>
          <w:b w:val="0"/>
          <w:sz w:val="21"/>
        </w:rPr>
        <w:t>%，进一步优化负债结构。</w:t>
      </w:r>
    </w:p>
    <w:p>
      <w:pPr>
        <w:jc w:val="left"/>
      </w:pPr>
      <w:r>
        <w:rPr>
          <w:rFonts w:ascii="等线" w:hAnsi="等线" w:eastAsia="等线"/>
          <w:b w:val="0"/>
          <w:sz w:val="21"/>
        </w:rPr>
        <w:t>（二）经营成果1.收入- 随着绿色金融业务的拓展，预计下一年度绿色项目相关收入在总营业收入中的占比将增长</w:t>
      </w:r>
      <w:r>
        <w:rPr>
          <w:rFonts w:ascii="等线" w:hAnsi="等线" w:eastAsia="等线"/>
          <w:b w:val="0"/>
          <w:sz w:val="21"/>
          <w:highlight w:val="yellow"/>
        </w:rPr>
        <w:t>[X]</w:t>
      </w:r>
      <w:r>
        <w:rPr>
          <w:rFonts w:ascii="等线" w:hAnsi="等线" w:eastAsia="等线"/>
          <w:b w:val="0"/>
          <w:sz w:val="21"/>
        </w:rPr>
        <w:t>%。2.成本- 持续投入可持续发展风险管理成本，但预计占总成本的比例将保持稳定在</w:t>
      </w:r>
      <w:r>
        <w:rPr>
          <w:rFonts w:ascii="等线" w:hAnsi="等线" w:eastAsia="等线"/>
          <w:b w:val="0"/>
          <w:sz w:val="21"/>
          <w:highlight w:val="yellow"/>
        </w:rPr>
        <w:t>[X]</w:t>
      </w:r>
      <w:r>
        <w:rPr>
          <w:rFonts w:ascii="等线" w:hAnsi="等线" w:eastAsia="等线"/>
          <w:b w:val="0"/>
          <w:sz w:val="21"/>
        </w:rPr>
        <w:t>%左右。</w:t>
      </w:r>
    </w:p>
    <w:p>
      <w:pPr>
        <w:jc w:val="left"/>
      </w:pPr>
      <w:r>
        <w:rPr>
          <w:rFonts w:ascii="等线" w:hAnsi="等线" w:eastAsia="等线"/>
          <w:b w:val="0"/>
          <w:sz w:val="21"/>
        </w:rPr>
        <w:t>（三）现金流1.经营活动现金流- 绿色项目的持续发展将使经营活动现金流入增加约</w:t>
      </w:r>
      <w:r>
        <w:rPr>
          <w:rFonts w:ascii="等线" w:hAnsi="等线" w:eastAsia="等线"/>
          <w:b w:val="0"/>
          <w:sz w:val="21"/>
          <w:highlight w:val="yellow"/>
        </w:rPr>
        <w:t>[X]</w:t>
      </w:r>
      <w:r>
        <w:rPr>
          <w:rFonts w:ascii="等线" w:hAnsi="等线" w:eastAsia="等线"/>
          <w:b w:val="0"/>
          <w:sz w:val="21"/>
        </w:rPr>
        <w:t>百万美元。2.投资活动现金流- 计划投资</w:t>
      </w:r>
      <w:r>
        <w:rPr>
          <w:rFonts w:ascii="等线" w:hAnsi="等线" w:eastAsia="等线"/>
          <w:b w:val="0"/>
          <w:sz w:val="21"/>
          <w:highlight w:val="yellow"/>
        </w:rPr>
        <w:t>[X]</w:t>
      </w:r>
      <w:r>
        <w:rPr>
          <w:rFonts w:ascii="等线" w:hAnsi="等线" w:eastAsia="等线"/>
          <w:b w:val="0"/>
          <w:sz w:val="21"/>
        </w:rPr>
        <w:t>亿美元于可持续发展项目，导致投资活动现金流出增加。3.融资活动现金流- 若成功发行新的绿色债券，融资活动现金流入将增加</w:t>
      </w:r>
      <w:r>
        <w:rPr>
          <w:rFonts w:ascii="等线" w:hAnsi="等线" w:eastAsia="等线"/>
          <w:b w:val="0"/>
          <w:sz w:val="21"/>
          <w:highlight w:val="yellow"/>
        </w:rPr>
        <w:t>[X]</w:t>
      </w:r>
      <w:r>
        <w:rPr>
          <w:rFonts w:ascii="等线" w:hAnsi="等线" w:eastAsia="等线"/>
          <w:b w:val="0"/>
          <w:sz w:val="21"/>
        </w:rPr>
        <w:t>亿美元。</w:t>
      </w:r>
    </w:p>
    <w:p>
      <w:pPr>
        <w:jc w:val="left"/>
      </w:pPr>
      <w:r>
        <w:rPr>
          <w:rFonts w:ascii="等线" w:hAnsi="等线" w:eastAsia="等线"/>
          <w:b w:val="0"/>
          <w:sz w:val="21"/>
        </w:rPr>
        <w:t>三、短期、中期和长期内的变化趋势</w:t>
      </w:r>
    </w:p>
    <w:p>
      <w:pPr>
        <w:jc w:val="left"/>
      </w:pPr>
      <w:r>
        <w:rPr>
          <w:rFonts w:ascii="等线" w:hAnsi="等线" w:eastAsia="等线"/>
          <w:b w:val="0"/>
          <w:sz w:val="21"/>
        </w:rPr>
        <w:t>（一）结合投资、资产处置、融资计划的财务状况变化趋势1.短期（1 - 2年）- 投资重点向绿色产业倾斜，短期将使绿色资产占比提升</w:t>
      </w:r>
      <w:r>
        <w:rPr>
          <w:rFonts w:ascii="等线" w:hAnsi="等线" w:eastAsia="等线"/>
          <w:b w:val="0"/>
          <w:sz w:val="21"/>
          <w:highlight w:val="yellow"/>
        </w:rPr>
        <w:t>[X]</w:t>
      </w:r>
      <w:r>
        <w:rPr>
          <w:rFonts w:ascii="等线" w:hAnsi="等线" w:eastAsia="等线"/>
          <w:b w:val="0"/>
          <w:sz w:val="21"/>
        </w:rPr>
        <w:t>-</w:t>
      </w:r>
      <w:r>
        <w:rPr>
          <w:rFonts w:ascii="等线" w:hAnsi="等线" w:eastAsia="等线"/>
          <w:b w:val="0"/>
          <w:sz w:val="21"/>
          <w:highlight w:val="yellow"/>
        </w:rPr>
        <w:t>[X]</w:t>
      </w:r>
      <w:r>
        <w:rPr>
          <w:rFonts w:ascii="等线" w:hAnsi="等线" w:eastAsia="等线"/>
          <w:b w:val="0"/>
          <w:sz w:val="21"/>
        </w:rPr>
        <w:t>%，同时通过绿色债券融资补充资金，负债结构有所优化。2.中期（3 - 5年）- 持续增加绿色产业投资，预计中期绿色资产占总资产的比例达到</w:t>
      </w:r>
      <w:r>
        <w:rPr>
          <w:rFonts w:ascii="等线" w:hAnsi="等线" w:eastAsia="等线"/>
          <w:b w:val="0"/>
          <w:sz w:val="21"/>
          <w:highlight w:val="yellow"/>
        </w:rPr>
        <w:t>[X]</w:t>
      </w:r>
      <w:r>
        <w:rPr>
          <w:rFonts w:ascii="等线" w:hAnsi="等线" w:eastAsia="等线"/>
          <w:b w:val="0"/>
          <w:sz w:val="21"/>
        </w:rPr>
        <w:t>%，逐步减少对高污染、高风险传统资产的依赖，负债成本持续降低。3.长期（5年以上）- 构建以可持续发展为导向的资产负债结构，绿色资产和绿色融资占比将稳定在较高水平，财务状况更加稳健和可持续。</w:t>
      </w:r>
    </w:p>
    <w:p>
      <w:pPr>
        <w:jc w:val="left"/>
      </w:pPr>
      <w:r>
        <w:rPr>
          <w:rFonts w:ascii="等线" w:hAnsi="等线" w:eastAsia="等线"/>
          <w:b w:val="0"/>
          <w:sz w:val="21"/>
        </w:rPr>
        <w:t>（二）结合管理战略的经营成果和现金流变化趋势1.短期（1 - 2年）- 经营成果方面，绿色金融业务收入增长</w:t>
      </w:r>
      <w:r>
        <w:rPr>
          <w:rFonts w:ascii="等线" w:hAnsi="等线" w:eastAsia="等线"/>
          <w:b w:val="0"/>
          <w:sz w:val="21"/>
          <w:highlight w:val="yellow"/>
        </w:rPr>
        <w:t>[X]</w:t>
      </w:r>
      <w:r>
        <w:rPr>
          <w:rFonts w:ascii="等线" w:hAnsi="等线" w:eastAsia="等线"/>
          <w:b w:val="0"/>
          <w:sz w:val="21"/>
        </w:rPr>
        <w:t>%，但风险管理成本也会使总成本上升</w:t>
      </w:r>
      <w:r>
        <w:rPr>
          <w:rFonts w:ascii="等线" w:hAnsi="等线" w:eastAsia="等线"/>
          <w:b w:val="0"/>
          <w:sz w:val="21"/>
          <w:highlight w:val="yellow"/>
        </w:rPr>
        <w:t>[X]</w:t>
      </w:r>
      <w:r>
        <w:rPr>
          <w:rFonts w:ascii="等线" w:hAnsi="等线" w:eastAsia="等线"/>
          <w:b w:val="0"/>
          <w:sz w:val="21"/>
        </w:rPr>
        <w:t>%。现金流方面，绿色项目的投资初期会使投资活动现金流出增加，但经营活动现金流入将逐渐稳定增长。2.中期（3 - 5年）- 经营成果上，绿色金融业务成为主要收入来源之一，占比达到</w:t>
      </w:r>
      <w:r>
        <w:rPr>
          <w:rFonts w:ascii="等线" w:hAnsi="等线" w:eastAsia="等线"/>
          <w:b w:val="0"/>
          <w:sz w:val="21"/>
          <w:highlight w:val="yellow"/>
        </w:rPr>
        <w:t>[X]</w:t>
      </w:r>
      <w:r>
        <w:rPr>
          <w:rFonts w:ascii="等线" w:hAnsi="等线" w:eastAsia="等线"/>
          <w:b w:val="0"/>
          <w:sz w:val="21"/>
        </w:rPr>
        <w:t>%，成本效率提升使总成本增长放缓。现金流上，经营活动现金流入持续增加，投资活动现金流出随着项目成熟逐渐减少。3.长期（5年以上）- 经营成果实现可持续增长，绿色业务收入和传统业务可持续转型后的收入共同推动整体收入增长。现金流方面，经营、投资和融资活动现金流达到稳定且健康的状态，实现可持续的现金循环。</w:t>
      </w:r>
    </w:p>
    <w:p>
      <w:pPr>
        <w:pStyle w:val="Heading2"/>
      </w:pPr>
      <w:r>
        <w:rPr>
          <w:rFonts w:ascii="等线" w:hAnsi="等线" w:eastAsia="等线"/>
          <w:color w:val="000000"/>
          <w:sz w:val="32"/>
        </w:rPr>
        <w:t>战略适应</w:t>
      </w:r>
    </w:p>
    <w:p>
      <w:pPr>
        <w:jc w:val="left"/>
      </w:pPr>
      <w:r>
        <w:rPr>
          <w:rFonts w:ascii="等线" w:hAnsi="等线" w:eastAsia="等线"/>
          <w:b w:val="0"/>
          <w:sz w:val="21"/>
        </w:rPr>
        <w:t>以下是一个面向国际市场的大型国有银行业企业ESG报告中可持续发展管理 - 战略适应的内容模板：</w:t>
      </w:r>
    </w:p>
    <w:p>
      <w:pPr>
        <w:jc w:val="left"/>
      </w:pPr>
      <w:r>
        <w:rPr>
          <w:rFonts w:ascii="等线" w:hAnsi="等线" w:eastAsia="等线"/>
          <w:b w:val="0"/>
          <w:sz w:val="21"/>
        </w:rPr>
        <w:t>一、战略及商业模式概述</w:t>
      </w:r>
    </w:p>
    <w:p>
      <w:pPr>
        <w:jc w:val="left"/>
      </w:pPr>
      <w:r>
        <w:rPr>
          <w:rFonts w:ascii="等线" w:hAnsi="等线" w:eastAsia="等线"/>
          <w:b w:val="0"/>
          <w:sz w:val="21"/>
        </w:rPr>
        <w:t>本银行的战略目标是在提供广泛金融服务的同时，积极推动全球经济的可持续发展。我们的商业模式围绕着吸收存款、发放贷款、提供金融咨询以及开展国际金融业务等核心业务活动构建。通过在全球范围内建立广泛的分支机构和合作伙伴网络，我们能够服务于不同类型的客户，包括个人、企业和政府机构。</w:t>
      </w:r>
    </w:p>
    <w:p>
      <w:pPr>
        <w:jc w:val="left"/>
      </w:pPr>
      <w:r>
        <w:rPr>
          <w:rFonts w:ascii="等线" w:hAnsi="等线" w:eastAsia="等线"/>
          <w:b w:val="0"/>
          <w:sz w:val="21"/>
        </w:rPr>
        <w:t>二、可持续发展相关风险的评估方式</w:t>
      </w:r>
    </w:p>
    <w:p>
      <w:pPr>
        <w:jc w:val="left"/>
      </w:pPr>
      <w:r>
        <w:rPr>
          <w:rFonts w:ascii="等线" w:hAnsi="等线" w:eastAsia="等线"/>
          <w:b w:val="0"/>
          <w:sz w:val="21"/>
        </w:rPr>
        <w:t>1. 风险识别</w:t>
      </w:r>
    </w:p>
    <w:p>
      <w:pPr>
        <w:ind w:left="480"/>
        <w:jc w:val="left"/>
      </w:pPr>
      <w:r>
        <w:rPr>
          <w:rFonts w:ascii="等线" w:hAnsi="等线" w:eastAsia="等线"/>
          <w:b w:val="0"/>
          <w:sz w:val="21"/>
        </w:rPr>
        <w:t>◦ 采用自上而下和自下而上相结合的方法。从宏观层面，密切关注国际政策法规变化、全球经济趋势、气候变化影响等因素对银行业务的潜在影响。例如，每年分析至少50个国家和地区的政策法规变动情况，以识别可能产生的合规风险和业务机会。从微观层面，各业务部门定期（每季度）汇报业务操作中遇到的与可持续发展相关的问题，如特定行业客户的环境风险暴露对贷款质量的影响。</w:t>
      </w:r>
    </w:p>
    <w:p>
      <w:pPr>
        <w:ind w:left="480"/>
        <w:jc w:val="left"/>
      </w:pPr>
      <w:r>
        <w:rPr>
          <w:rFonts w:ascii="等线" w:hAnsi="等线" w:eastAsia="等线"/>
          <w:b w:val="0"/>
          <w:sz w:val="21"/>
        </w:rPr>
        <w:t>◦ 利用大数据分析技术，收集和分析来自内部业务系统、外部新闻媒体、行业研究机构等多渠道的数据。每周处理超过10万条数据信息，以识别新兴的可持续发展风险信号，如新兴市场的社会不稳定因素对当地分行运营的潜在威胁。</w:t>
      </w:r>
    </w:p>
    <w:p>
      <w:pPr>
        <w:jc w:val="left"/>
      </w:pPr>
      <w:r>
        <w:rPr>
          <w:rFonts w:ascii="等线" w:hAnsi="等线" w:eastAsia="等线"/>
          <w:b w:val="0"/>
          <w:sz w:val="21"/>
        </w:rPr>
        <w:t>2. 风险评估模型</w:t>
      </w:r>
    </w:p>
    <w:p>
      <w:pPr>
        <w:ind w:left="480"/>
        <w:jc w:val="left"/>
      </w:pPr>
      <w:r>
        <w:rPr>
          <w:rFonts w:ascii="等线" w:hAnsi="等线" w:eastAsia="等线"/>
          <w:b w:val="0"/>
          <w:sz w:val="21"/>
        </w:rPr>
        <w:t>◦ 构建了专门的可持续发展风险评估模型，该模型综合考虑环境（E）、社会（S）和治理（G）三个维度的因素。对于环境风险，评估指标包括但不限于客户的碳排放强度、水资源利用效率等；社会风险方面，关注员工满意度、社区关系、人权等因素；治理风险涵盖公司治理结构的有效性、反腐败措施等。每个指标都根据国际标准进行量化和权重分配，例如，客户碳排放强度在环境风险评估中的权重为30%。</w:t>
      </w:r>
    </w:p>
    <w:p>
      <w:pPr>
        <w:ind w:left="480"/>
        <w:jc w:val="left"/>
      </w:pPr>
      <w:r>
        <w:rPr>
          <w:rFonts w:ascii="等线" w:hAnsi="等线" w:eastAsia="等线"/>
          <w:b w:val="0"/>
          <w:sz w:val="21"/>
        </w:rPr>
        <w:t>◦ 根据风险发生的可能性和潜在影响程度，将风险划分为高、中、低三个等级。每年对模型进行校准和优化，确保其准确性和适应性，过去三年模型预测准确率平均达到80%以上。</w:t>
      </w:r>
    </w:p>
    <w:p>
      <w:pPr>
        <w:jc w:val="left"/>
      </w:pPr>
      <w:r>
        <w:rPr>
          <w:rFonts w:ascii="等线" w:hAnsi="等线" w:eastAsia="等线"/>
          <w:b w:val="0"/>
          <w:sz w:val="21"/>
        </w:rPr>
        <w:t>三、评估的时间范围</w:t>
      </w:r>
    </w:p>
    <w:p>
      <w:pPr>
        <w:jc w:val="left"/>
      </w:pPr>
      <w:r>
        <w:rPr>
          <w:rFonts w:ascii="等线" w:hAnsi="等线" w:eastAsia="等线"/>
          <w:b w:val="0"/>
          <w:sz w:val="21"/>
        </w:rPr>
        <w:t>我们的可持续发展相关风险评估是一个持续的过程，短期评估以季度为周期，重点关注近期内可能对业务产生直接影响的风险因素，如季节性的市场波动对金融产品收益的影响。中期评估以1 - 3年为时间跨度，分析行业趋势、技术变革等因素对战略和商业模式的影响，例如预测未来三年内移动支付技术的普及对传统银行业务渠道的冲击。长期评估则着眼于5 - 10年甚至更长远的未来，考虑气候变化、人口结构变化等宏观因素对银行业务的根本影响，如预计到2050年全球气温上升可能导致沿海地区部分客户资产价值下降，从而影响贷款回收风险。</w:t>
      </w:r>
    </w:p>
    <w:p>
      <w:pPr>
        <w:jc w:val="left"/>
      </w:pPr>
      <w:r>
        <w:rPr>
          <w:rFonts w:ascii="等线" w:hAnsi="等线" w:eastAsia="等线"/>
          <w:b w:val="0"/>
          <w:sz w:val="21"/>
        </w:rPr>
        <w:t>四、评估结果</w:t>
      </w:r>
    </w:p>
    <w:p>
      <w:pPr>
        <w:jc w:val="left"/>
      </w:pPr>
      <w:r>
        <w:rPr>
          <w:rFonts w:ascii="等线" w:hAnsi="等线" w:eastAsia="等线"/>
          <w:b w:val="0"/>
          <w:sz w:val="21"/>
        </w:rPr>
        <w:t>1. 环境风险方面</w:t>
      </w:r>
    </w:p>
    <w:p>
      <w:pPr>
        <w:ind w:left="480"/>
        <w:jc w:val="left"/>
      </w:pPr>
      <w:r>
        <w:rPr>
          <w:rFonts w:ascii="等线" w:hAnsi="等线" w:eastAsia="等线"/>
          <w:b w:val="0"/>
          <w:sz w:val="21"/>
        </w:rPr>
        <w:t>◦ 在对贷款组合的环境风险评估中，发现约20%的贷款投向了高碳排行业，如传统能源和重工业。这些行业面临着日益严格的环境监管政策，可能导致企业经营成本上升，进而影响贷款偿还能力。因此，我们制定了逐步降低高碳排行业贷款占比的目标，计划在未来五年内将其降低至15%以下。</w:t>
      </w:r>
    </w:p>
    <w:p>
      <w:pPr>
        <w:ind w:left="480"/>
        <w:jc w:val="left"/>
      </w:pPr>
      <w:r>
        <w:rPr>
          <w:rFonts w:ascii="等线" w:hAnsi="等线" w:eastAsia="等线"/>
          <w:b w:val="0"/>
          <w:sz w:val="21"/>
        </w:rPr>
        <w:t>◦ 随着全球水资源短缺问题的加剧，我们对农业和水资源密集型企业的贷款进行了风险重新评估。结果显示，约10%的此类贷款存在一定程度的水资源风险暴露。针对这一情况，我们将与这些企业合作，推动其采用节水技术和可持续水资源管理措施，同时加强对贷款的风险管理。</w:t>
      </w:r>
    </w:p>
    <w:p>
      <w:pPr>
        <w:jc w:val="left"/>
      </w:pPr>
      <w:r>
        <w:rPr>
          <w:rFonts w:ascii="等线" w:hAnsi="等线" w:eastAsia="等线"/>
          <w:b w:val="0"/>
          <w:sz w:val="21"/>
        </w:rPr>
        <w:t>2. 社会风险方面</w:t>
      </w:r>
    </w:p>
    <w:p>
      <w:pPr>
        <w:ind w:left="480"/>
        <w:jc w:val="left"/>
      </w:pPr>
      <w:r>
        <w:rPr>
          <w:rFonts w:ascii="等线" w:hAnsi="等线" w:eastAsia="等线"/>
          <w:b w:val="0"/>
          <w:sz w:val="21"/>
        </w:rPr>
        <w:t>◦ 员工满意度调查显示，过去一年整体满意度为85%，但在工作与生活平衡方面存在一定的改进空间。为应对这一社会风险，我们计划推出一系列灵活的工作制度和员工福利措施，以提高员工的工作满意度和忠诚度。</w:t>
      </w:r>
    </w:p>
    <w:p>
      <w:pPr>
        <w:ind w:left="480"/>
        <w:jc w:val="left"/>
      </w:pPr>
      <w:r>
        <w:rPr>
          <w:rFonts w:ascii="等线" w:hAnsi="等线" w:eastAsia="等线"/>
          <w:b w:val="0"/>
          <w:sz w:val="21"/>
        </w:rPr>
        <w:t>◦ 在社区关系方面，我们发现部分地区分行在社区发展项目中的参与度较低。经过评估，我们制定了新的社区投资计划，承诺在未来三年内将社区发展项目的投资增加30%，以改善社区关系，提升银行的社会声誉。</w:t>
      </w:r>
    </w:p>
    <w:p>
      <w:pPr>
        <w:jc w:val="left"/>
      </w:pPr>
      <w:r>
        <w:rPr>
          <w:rFonts w:ascii="等线" w:hAnsi="等线" w:eastAsia="等线"/>
          <w:b w:val="0"/>
          <w:sz w:val="21"/>
        </w:rPr>
        <w:t>3. 治理风险方面</w:t>
      </w:r>
    </w:p>
    <w:p>
      <w:pPr>
        <w:ind w:left="480"/>
        <w:jc w:val="left"/>
      </w:pPr>
      <w:r>
        <w:rPr>
          <w:rFonts w:ascii="等线" w:hAnsi="等线" w:eastAsia="等线"/>
          <w:b w:val="0"/>
          <w:sz w:val="21"/>
        </w:rPr>
        <w:t>◦ 通过对公司治理结构的审查，发现决策流程在某些复杂业务决策时存在效率不高的问题。为解决这一治理风险，我们将优化决策流程，引入更多的数字化工具和专业人才，目标是在未来一年内将复杂业务决策的平均周期缩短20%。</w:t>
      </w:r>
    </w:p>
    <w:p>
      <w:pPr>
        <w:ind w:left="480"/>
        <w:jc w:val="left"/>
      </w:pPr>
      <w:r>
        <w:rPr>
          <w:rFonts w:ascii="等线" w:hAnsi="等线" w:eastAsia="等线"/>
          <w:b w:val="0"/>
          <w:sz w:val="21"/>
        </w:rPr>
        <w:t>◦ 在反腐败措施方面，虽然目前尚未发现重大的腐败事件，但我们持续加强内部监控和审计力度。每年内部审计覆盖的业务范围达到90%以上，以确保银行运营的廉洁性和合规性。</w:t>
      </w:r>
    </w:p>
    <w:p>
      <w:pPr>
        <w:pStyle w:val="Heading2"/>
      </w:pPr>
      <w:r>
        <w:rPr>
          <w:rFonts w:ascii="等线" w:hAnsi="等线" w:eastAsia="等线"/>
          <w:color w:val="000000"/>
          <w:sz w:val="32"/>
        </w:rPr>
        <w:t>风险机遇影响等应对流程</w:t>
      </w:r>
    </w:p>
    <w:p>
      <w:pPr>
        <w:jc w:val="left"/>
      </w:pPr>
      <w:r>
        <w:rPr>
          <w:rFonts w:ascii="等线" w:hAnsi="等线" w:eastAsia="等线"/>
          <w:b w:val="0"/>
          <w:sz w:val="21"/>
        </w:rPr>
        <w:t>以下是一个面向国际市场的大型国有银行业企业ESG报告中可持续发展管理 - 风险机遇影响等应对流程的内容模板：</w:t>
      </w:r>
    </w:p>
    <w:p>
      <w:pPr>
        <w:jc w:val="left"/>
      </w:pPr>
      <w:r>
        <w:rPr>
          <w:rFonts w:ascii="等线" w:hAnsi="等线" w:eastAsia="等线"/>
          <w:b w:val="0"/>
          <w:sz w:val="21"/>
        </w:rPr>
        <w:t>一、识别、评估可持续发展相关影响、风险和机遇的方法</w:t>
      </w:r>
    </w:p>
    <w:p>
      <w:pPr>
        <w:jc w:val="left"/>
      </w:pPr>
      <w:r>
        <w:rPr>
          <w:rFonts w:ascii="等线" w:hAnsi="等线" w:eastAsia="等线"/>
          <w:b w:val="0"/>
          <w:sz w:val="21"/>
        </w:rPr>
        <w:t>1. 数据收集与分析</w:t>
      </w:r>
    </w:p>
    <w:p>
      <w:pPr>
        <w:jc w:val="left"/>
      </w:pPr>
      <w:r>
        <w:rPr>
          <w:rFonts w:ascii="等线" w:hAnsi="等线" w:eastAsia="等线"/>
          <w:b w:val="0"/>
          <w:sz w:val="21"/>
        </w:rPr>
        <w:t>2. 从多个渠道收集数据，包括国际金融监管机构发布的数据、行业研究报告、客户信息数据库等。例如，每月收集来自全球超过</w:t>
      </w:r>
      <w:r>
        <w:rPr>
          <w:rFonts w:ascii="等线" w:hAnsi="等线" w:eastAsia="等线"/>
          <w:b w:val="0"/>
          <w:sz w:val="21"/>
          <w:highlight w:val="yellow"/>
        </w:rPr>
        <w:t>[X]</w:t>
      </w:r>
      <w:r>
        <w:rPr>
          <w:rFonts w:ascii="等线" w:hAnsi="等线" w:eastAsia="等线"/>
          <w:b w:val="0"/>
          <w:sz w:val="21"/>
        </w:rPr>
        <w:t>个金融监管机构发布的政策更新数据，每年分析</w:t>
      </w:r>
      <w:r>
        <w:rPr>
          <w:rFonts w:ascii="等线" w:hAnsi="等线" w:eastAsia="等线"/>
          <w:b w:val="0"/>
          <w:sz w:val="21"/>
          <w:highlight w:val="yellow"/>
        </w:rPr>
        <w:t>[X]</w:t>
      </w:r>
      <w:r>
        <w:rPr>
          <w:rFonts w:ascii="等线" w:hAnsi="等线" w:eastAsia="等线"/>
          <w:b w:val="0"/>
          <w:sz w:val="21"/>
        </w:rPr>
        <w:t>份行业研究报告。</w:t>
      </w:r>
    </w:p>
    <w:p>
      <w:pPr>
        <w:jc w:val="left"/>
      </w:pPr>
      <w:r>
        <w:rPr>
          <w:rFonts w:ascii="等线" w:hAnsi="等线" w:eastAsia="等线"/>
          <w:b w:val="0"/>
          <w:sz w:val="21"/>
        </w:rPr>
        <w:t>3. 利用大数据分析技术，对海量的交易数据进行挖掘，以识别潜在的可持续发展相关影响。通过对每年</w:t>
      </w:r>
      <w:r>
        <w:rPr>
          <w:rFonts w:ascii="等线" w:hAnsi="等线" w:eastAsia="等线"/>
          <w:b w:val="0"/>
          <w:sz w:val="21"/>
          <w:highlight w:val="yellow"/>
        </w:rPr>
        <w:t>[具体交易笔数]</w:t>
      </w:r>
      <w:r>
        <w:rPr>
          <w:rFonts w:ascii="等线" w:hAnsi="等线" w:eastAsia="等线"/>
          <w:b w:val="0"/>
          <w:sz w:val="21"/>
        </w:rPr>
        <w:t>的交易进行分析，识别出与环境、社会和治理因素相关的交易模式。</w:t>
      </w:r>
    </w:p>
    <w:p>
      <w:pPr>
        <w:jc w:val="left"/>
      </w:pPr>
      <w:r>
        <w:rPr>
          <w:rFonts w:ascii="等线" w:hAnsi="等线" w:eastAsia="等线"/>
          <w:b w:val="0"/>
          <w:sz w:val="21"/>
        </w:rPr>
        <w:t>4. 情景分析</w:t>
      </w:r>
    </w:p>
    <w:p>
      <w:pPr>
        <w:jc w:val="left"/>
      </w:pPr>
      <w:r>
        <w:rPr>
          <w:rFonts w:ascii="等线" w:hAnsi="等线" w:eastAsia="等线"/>
          <w:b w:val="0"/>
          <w:sz w:val="21"/>
        </w:rPr>
        <w:t>5. 针对不同的可持续发展情景，如气候变化导致的极端天气情景、社会不平等加剧情景等，构建模型。例如，构建</w:t>
      </w:r>
      <w:r>
        <w:rPr>
          <w:rFonts w:ascii="等线" w:hAnsi="等线" w:eastAsia="等线"/>
          <w:b w:val="0"/>
          <w:sz w:val="21"/>
          <w:highlight w:val="yellow"/>
        </w:rPr>
        <w:t>[X]</w:t>
      </w:r>
      <w:r>
        <w:rPr>
          <w:rFonts w:ascii="等线" w:hAnsi="等线" w:eastAsia="等线"/>
          <w:b w:val="0"/>
          <w:sz w:val="21"/>
        </w:rPr>
        <w:t>个不同气候变化情景下的金融风险模型，评估在海平面上升</w:t>
      </w:r>
      <w:r>
        <w:rPr>
          <w:rFonts w:ascii="等线" w:hAnsi="等线" w:eastAsia="等线"/>
          <w:b w:val="0"/>
          <w:sz w:val="21"/>
          <w:highlight w:val="yellow"/>
        </w:rPr>
        <w:t>[X]</w:t>
      </w:r>
      <w:r>
        <w:rPr>
          <w:rFonts w:ascii="等线" w:hAnsi="等线" w:eastAsia="等线"/>
          <w:b w:val="0"/>
          <w:sz w:val="21"/>
        </w:rPr>
        <w:t>厘米、气温升高</w:t>
      </w:r>
      <w:r>
        <w:rPr>
          <w:rFonts w:ascii="等线" w:hAnsi="等线" w:eastAsia="等线"/>
          <w:b w:val="0"/>
          <w:sz w:val="21"/>
          <w:highlight w:val="yellow"/>
        </w:rPr>
        <w:t>[X]</w:t>
      </w:r>
      <w:r>
        <w:rPr>
          <w:rFonts w:ascii="等线" w:hAnsi="等线" w:eastAsia="等线"/>
          <w:b w:val="0"/>
          <w:sz w:val="21"/>
        </w:rPr>
        <w:t>摄氏度等情况下对银行业务的影响。</w:t>
      </w:r>
    </w:p>
    <w:p>
      <w:pPr>
        <w:jc w:val="left"/>
      </w:pPr>
      <w:r>
        <w:rPr>
          <w:rFonts w:ascii="等线" w:hAnsi="等线" w:eastAsia="等线"/>
          <w:b w:val="0"/>
          <w:sz w:val="21"/>
        </w:rPr>
        <w:t>6. 评估这些情景发生的可能性，采用国际通用的概率评估方法，如蒙特卡洛模拟。根据模拟结果，确定每种情景发生的概率在</w:t>
      </w:r>
      <w:r>
        <w:rPr>
          <w:rFonts w:ascii="等线" w:hAnsi="等线" w:eastAsia="等线"/>
          <w:b w:val="0"/>
          <w:sz w:val="21"/>
          <w:highlight w:val="yellow"/>
        </w:rPr>
        <w:t>[X]</w:t>
      </w:r>
      <w:r>
        <w:rPr>
          <w:rFonts w:ascii="等线" w:hAnsi="等线" w:eastAsia="等线"/>
          <w:b w:val="0"/>
          <w:sz w:val="21"/>
        </w:rPr>
        <w:t>% -</w:t>
      </w:r>
      <w:r>
        <w:rPr>
          <w:rFonts w:ascii="等线" w:hAnsi="等线" w:eastAsia="等线"/>
          <w:b w:val="0"/>
          <w:sz w:val="21"/>
          <w:highlight w:val="yellow"/>
        </w:rPr>
        <w:t>[X]</w:t>
      </w:r>
      <w:r>
        <w:rPr>
          <w:rFonts w:ascii="等线" w:hAnsi="等线" w:eastAsia="等线"/>
          <w:b w:val="0"/>
          <w:sz w:val="21"/>
        </w:rPr>
        <w:t>%之间。</w:t>
      </w:r>
    </w:p>
    <w:p>
      <w:pPr>
        <w:jc w:val="left"/>
      </w:pPr>
      <w:r>
        <w:rPr>
          <w:rFonts w:ascii="等线" w:hAnsi="等线" w:eastAsia="等线"/>
          <w:b w:val="0"/>
          <w:sz w:val="21"/>
        </w:rPr>
        <w:t>7. 专家评估</w:t>
      </w:r>
    </w:p>
    <w:p>
      <w:pPr>
        <w:jc w:val="left"/>
      </w:pPr>
      <w:r>
        <w:rPr>
          <w:rFonts w:ascii="等线" w:hAnsi="等线" w:eastAsia="等线"/>
          <w:b w:val="0"/>
          <w:sz w:val="21"/>
        </w:rPr>
        <w:t>8. 组建内部和外部专家团队，内部专家包括具有多年银行业务经验和可持续发展知识的高级管理人员和研究人员，外部专家来自国际知名的可持续发展研究机构、大学等。内部专家</w:t>
      </w:r>
      <w:r>
        <w:rPr>
          <w:rFonts w:ascii="等线" w:hAnsi="等线" w:eastAsia="等线"/>
          <w:b w:val="0"/>
          <w:sz w:val="21"/>
          <w:highlight w:val="yellow"/>
        </w:rPr>
        <w:t>[X]</w:t>
      </w:r>
      <w:r>
        <w:rPr>
          <w:rFonts w:ascii="等线" w:hAnsi="等线" w:eastAsia="等线"/>
          <w:b w:val="0"/>
          <w:sz w:val="21"/>
        </w:rPr>
        <w:t>人，外部专家</w:t>
      </w:r>
      <w:r>
        <w:rPr>
          <w:rFonts w:ascii="等线" w:hAnsi="等线" w:eastAsia="等线"/>
          <w:b w:val="0"/>
          <w:sz w:val="21"/>
          <w:highlight w:val="yellow"/>
        </w:rPr>
        <w:t>[X]</w:t>
      </w:r>
      <w:r>
        <w:rPr>
          <w:rFonts w:ascii="等线" w:hAnsi="等线" w:eastAsia="等线"/>
          <w:b w:val="0"/>
          <w:sz w:val="21"/>
        </w:rPr>
        <w:t>人参与年度评估。</w:t>
      </w:r>
    </w:p>
    <w:p>
      <w:pPr>
        <w:jc w:val="left"/>
      </w:pPr>
      <w:r>
        <w:rPr>
          <w:rFonts w:ascii="等线" w:hAnsi="等线" w:eastAsia="等线"/>
          <w:b w:val="0"/>
          <w:sz w:val="21"/>
        </w:rPr>
        <w:t>9. 专家根据其专业知识和经验，对可持续发展相关影响、风险和机遇进行定性和定量评估，例如，对新兴市场社会不稳定可能带来的信贷风险，专家根据历史数据和国际案例，评估风险大小为</w:t>
      </w:r>
      <w:r>
        <w:rPr>
          <w:rFonts w:ascii="等线" w:hAnsi="等线" w:eastAsia="等线"/>
          <w:b w:val="0"/>
          <w:sz w:val="21"/>
          <w:highlight w:val="yellow"/>
        </w:rPr>
        <w:t>[X]</w:t>
      </w:r>
      <w:r>
        <w:rPr>
          <w:rFonts w:ascii="等线" w:hAnsi="等线" w:eastAsia="等线"/>
          <w:b w:val="0"/>
          <w:sz w:val="21"/>
        </w:rPr>
        <w:t>级（采用国际通用的风险评级标准）。</w:t>
      </w:r>
    </w:p>
    <w:p>
      <w:pPr>
        <w:jc w:val="left"/>
      </w:pPr>
      <w:r>
        <w:rPr>
          <w:rFonts w:ascii="等线" w:hAnsi="等线" w:eastAsia="等线"/>
          <w:b w:val="0"/>
          <w:sz w:val="21"/>
        </w:rPr>
        <w:t>二、对可持续发展相关影响、风险与机遇的优先级排序及排序标准</w:t>
      </w:r>
    </w:p>
    <w:p>
      <w:pPr>
        <w:jc w:val="left"/>
      </w:pPr>
      <w:r>
        <w:rPr>
          <w:rFonts w:ascii="等线" w:hAnsi="等线" w:eastAsia="等线"/>
          <w:b w:val="0"/>
          <w:sz w:val="21"/>
        </w:rPr>
        <w:t>1. 排序标准</w:t>
      </w:r>
    </w:p>
    <w:p>
      <w:pPr>
        <w:jc w:val="left"/>
      </w:pPr>
      <w:r>
        <w:rPr>
          <w:rFonts w:ascii="等线" w:hAnsi="等线" w:eastAsia="等线"/>
          <w:b w:val="0"/>
          <w:sz w:val="21"/>
        </w:rPr>
        <w:t>2. 基于影响的规模，以货币价值衡量。例如，如果可持续发展相关风险可能导致银行损失超过</w:t>
      </w:r>
      <w:r>
        <w:rPr>
          <w:rFonts w:ascii="等线" w:hAnsi="等线" w:eastAsia="等线"/>
          <w:b w:val="0"/>
          <w:sz w:val="21"/>
          <w:highlight w:val="yellow"/>
        </w:rPr>
        <w:t>[X]</w:t>
      </w:r>
      <w:r>
        <w:rPr>
          <w:rFonts w:ascii="等线" w:hAnsi="等线" w:eastAsia="等线"/>
          <w:b w:val="0"/>
          <w:sz w:val="21"/>
        </w:rPr>
        <w:t>亿美元，则列为高优先级。</w:t>
      </w:r>
    </w:p>
    <w:p>
      <w:pPr>
        <w:jc w:val="left"/>
      </w:pPr>
      <w:r>
        <w:rPr>
          <w:rFonts w:ascii="等线" w:hAnsi="等线" w:eastAsia="等线"/>
          <w:b w:val="0"/>
          <w:sz w:val="21"/>
        </w:rPr>
        <w:t>3. 发生的可能性，采用概率数值表示。如发生概率超过</w:t>
      </w:r>
      <w:r>
        <w:rPr>
          <w:rFonts w:ascii="等线" w:hAnsi="等线" w:eastAsia="等线"/>
          <w:b w:val="0"/>
          <w:sz w:val="21"/>
          <w:highlight w:val="yellow"/>
        </w:rPr>
        <w:t>[X]</w:t>
      </w:r>
      <w:r>
        <w:rPr>
          <w:rFonts w:ascii="等线" w:hAnsi="等线" w:eastAsia="等线"/>
          <w:b w:val="0"/>
          <w:sz w:val="21"/>
        </w:rPr>
        <w:t>%的风险或机遇视为高优先级。</w:t>
      </w:r>
    </w:p>
    <w:p>
      <w:pPr>
        <w:jc w:val="left"/>
      </w:pPr>
      <w:r>
        <w:rPr>
          <w:rFonts w:ascii="等线" w:hAnsi="等线" w:eastAsia="等线"/>
          <w:b w:val="0"/>
          <w:sz w:val="21"/>
        </w:rPr>
        <w:t>4. 对银行声誉的影响，通过国际声誉评估机构的评分变化来衡量。如果可能导致银行声誉评分下降</w:t>
      </w:r>
      <w:r>
        <w:rPr>
          <w:rFonts w:ascii="等线" w:hAnsi="等线" w:eastAsia="等线"/>
          <w:b w:val="0"/>
          <w:sz w:val="21"/>
          <w:highlight w:val="yellow"/>
        </w:rPr>
        <w:t>[X]</w:t>
      </w:r>
      <w:r>
        <w:rPr>
          <w:rFonts w:ascii="等线" w:hAnsi="等线" w:eastAsia="等线"/>
          <w:b w:val="0"/>
          <w:sz w:val="21"/>
        </w:rPr>
        <w:t>分以上，则优先级提高。</w:t>
      </w:r>
    </w:p>
    <w:p>
      <w:pPr>
        <w:jc w:val="left"/>
      </w:pPr>
      <w:r>
        <w:rPr>
          <w:rFonts w:ascii="等线" w:hAnsi="等线" w:eastAsia="等线"/>
          <w:b w:val="0"/>
          <w:sz w:val="21"/>
        </w:rPr>
        <w:t>5. 优先级排序结果示例</w:t>
      </w:r>
    </w:p>
    <w:p>
      <w:pPr>
        <w:jc w:val="left"/>
      </w:pPr>
      <w:r>
        <w:rPr>
          <w:rFonts w:ascii="等线" w:hAnsi="等线" w:eastAsia="等线"/>
          <w:b w:val="0"/>
          <w:sz w:val="21"/>
        </w:rPr>
        <w:t>6. 高优先级：气候变化相关的物理风险（如洪水对抵押物的损害），因为其可能影响银行</w:t>
      </w:r>
      <w:r>
        <w:rPr>
          <w:rFonts w:ascii="等线" w:hAnsi="等线" w:eastAsia="等线"/>
          <w:b w:val="0"/>
          <w:sz w:val="21"/>
          <w:highlight w:val="yellow"/>
        </w:rPr>
        <w:t>[X]</w:t>
      </w:r>
      <w:r>
        <w:rPr>
          <w:rFonts w:ascii="等线" w:hAnsi="等线" w:eastAsia="等线"/>
          <w:b w:val="0"/>
          <w:sz w:val="21"/>
        </w:rPr>
        <w:t>亿美元的抵押物价值，发生概率在</w:t>
      </w:r>
      <w:r>
        <w:rPr>
          <w:rFonts w:ascii="等线" w:hAnsi="等线" w:eastAsia="等线"/>
          <w:b w:val="0"/>
          <w:sz w:val="21"/>
          <w:highlight w:val="yellow"/>
        </w:rPr>
        <w:t>[X]</w:t>
      </w:r>
      <w:r>
        <w:rPr>
          <w:rFonts w:ascii="等线" w:hAnsi="等线" w:eastAsia="等线"/>
          <w:b w:val="0"/>
          <w:sz w:val="21"/>
        </w:rPr>
        <w:t>%以上，且一旦发生对银行声誉损害极大。</w:t>
      </w:r>
    </w:p>
    <w:p>
      <w:pPr>
        <w:jc w:val="left"/>
      </w:pPr>
      <w:r>
        <w:rPr>
          <w:rFonts w:ascii="等线" w:hAnsi="等线" w:eastAsia="等线"/>
          <w:b w:val="0"/>
          <w:sz w:val="21"/>
        </w:rPr>
        <w:t>7. 中优先级：新兴市场的社会公平性问题对小额信贷业务的影响，可能影响业务规模</w:t>
      </w:r>
      <w:r>
        <w:rPr>
          <w:rFonts w:ascii="等线" w:hAnsi="等线" w:eastAsia="等线"/>
          <w:b w:val="0"/>
          <w:sz w:val="21"/>
          <w:highlight w:val="yellow"/>
        </w:rPr>
        <w:t>[X]</w:t>
      </w:r>
      <w:r>
        <w:rPr>
          <w:rFonts w:ascii="等线" w:hAnsi="等线" w:eastAsia="等线"/>
          <w:b w:val="0"/>
          <w:sz w:val="21"/>
        </w:rPr>
        <w:t>亿美元，发生概率</w:t>
      </w:r>
      <w:r>
        <w:rPr>
          <w:rFonts w:ascii="等线" w:hAnsi="等线" w:eastAsia="等线"/>
          <w:b w:val="0"/>
          <w:sz w:val="21"/>
          <w:highlight w:val="yellow"/>
        </w:rPr>
        <w:t>[X]</w:t>
      </w:r>
      <w:r>
        <w:rPr>
          <w:rFonts w:ascii="等线" w:hAnsi="等线" w:eastAsia="等线"/>
          <w:b w:val="0"/>
          <w:sz w:val="21"/>
        </w:rPr>
        <w:t>%左右。</w:t>
      </w:r>
    </w:p>
    <w:p>
      <w:pPr>
        <w:jc w:val="left"/>
      </w:pPr>
      <w:r>
        <w:rPr>
          <w:rFonts w:ascii="等线" w:hAnsi="等线" w:eastAsia="等线"/>
          <w:b w:val="0"/>
          <w:sz w:val="21"/>
        </w:rPr>
        <w:t>8. 低优先级：某些地区的文化传承问题对银行业务的间接影响，影响规模预计小于</w:t>
      </w:r>
      <w:r>
        <w:rPr>
          <w:rFonts w:ascii="等线" w:hAnsi="等线" w:eastAsia="等线"/>
          <w:b w:val="0"/>
          <w:sz w:val="21"/>
          <w:highlight w:val="yellow"/>
        </w:rPr>
        <w:t>[X]</w:t>
      </w:r>
      <w:r>
        <w:rPr>
          <w:rFonts w:ascii="等线" w:hAnsi="等线" w:eastAsia="等线"/>
          <w:b w:val="0"/>
          <w:sz w:val="21"/>
        </w:rPr>
        <w:t>亿美元，发生概率较低。</w:t>
      </w:r>
    </w:p>
    <w:p>
      <w:pPr>
        <w:jc w:val="left"/>
      </w:pPr>
      <w:r>
        <w:rPr>
          <w:rFonts w:ascii="等线" w:hAnsi="等线" w:eastAsia="等线"/>
          <w:b w:val="0"/>
          <w:sz w:val="21"/>
        </w:rPr>
        <w:t>三、监测可持续发展相关影响、风险和机遇的情况</w:t>
      </w:r>
    </w:p>
    <w:p>
      <w:pPr>
        <w:jc w:val="left"/>
      </w:pPr>
      <w:r>
        <w:rPr>
          <w:rFonts w:ascii="等线" w:hAnsi="等线" w:eastAsia="等线"/>
          <w:b w:val="0"/>
          <w:sz w:val="21"/>
        </w:rPr>
        <w:t>1. 管理机制</w:t>
      </w:r>
    </w:p>
    <w:p>
      <w:pPr>
        <w:jc w:val="left"/>
      </w:pPr>
      <w:r>
        <w:rPr>
          <w:rFonts w:ascii="等线" w:hAnsi="等线" w:eastAsia="等线"/>
          <w:b w:val="0"/>
          <w:sz w:val="21"/>
        </w:rPr>
        <w:t>2. 建立可持续发展风险管理委员会，由银行高层管理人员、风险管理专家和可持续发展专家组成。委员会每月召开一次会议，讨论可持续发展相关风险和机遇的最新情况。</w:t>
      </w:r>
    </w:p>
    <w:p>
      <w:pPr>
        <w:jc w:val="left"/>
      </w:pPr>
      <w:r>
        <w:rPr>
          <w:rFonts w:ascii="等线" w:hAnsi="等线" w:eastAsia="等线"/>
          <w:b w:val="0"/>
          <w:sz w:val="21"/>
        </w:rPr>
        <w:t>3. 设立专门的监测部门，配备</w:t>
      </w:r>
      <w:r>
        <w:rPr>
          <w:rFonts w:ascii="等线" w:hAnsi="等线" w:eastAsia="等线"/>
          <w:b w:val="0"/>
          <w:sz w:val="21"/>
          <w:highlight w:val="yellow"/>
        </w:rPr>
        <w:t>[X]</w:t>
      </w:r>
      <w:r>
        <w:rPr>
          <w:rFonts w:ascii="等线" w:hAnsi="等线" w:eastAsia="等线"/>
          <w:b w:val="0"/>
          <w:sz w:val="21"/>
        </w:rPr>
        <w:t>名专业人员，负责日常的数据监测和分析工作。</w:t>
      </w:r>
    </w:p>
    <w:p>
      <w:pPr>
        <w:jc w:val="left"/>
      </w:pPr>
      <w:r>
        <w:rPr>
          <w:rFonts w:ascii="等线" w:hAnsi="等线" w:eastAsia="等线"/>
          <w:b w:val="0"/>
          <w:sz w:val="21"/>
        </w:rPr>
        <w:t>4. 具体流程</w:t>
      </w:r>
    </w:p>
    <w:p>
      <w:pPr>
        <w:jc w:val="left"/>
      </w:pPr>
      <w:r>
        <w:rPr>
          <w:rFonts w:ascii="等线" w:hAnsi="等线" w:eastAsia="等线"/>
          <w:b w:val="0"/>
          <w:sz w:val="21"/>
        </w:rPr>
        <w:t>5. 每日对全球金融市场数据进行扫描，关注与可持续发展相关的指标变化，如碳交易价格波动、新兴市场社会动荡指数等。</w:t>
      </w:r>
    </w:p>
    <w:p>
      <w:pPr>
        <w:jc w:val="left"/>
      </w:pPr>
      <w:r>
        <w:rPr>
          <w:rFonts w:ascii="等线" w:hAnsi="等线" w:eastAsia="等线"/>
          <w:b w:val="0"/>
          <w:sz w:val="21"/>
        </w:rPr>
        <w:t>6. 每月对银行内部业务数据进行深度分析，评估可持续发展相关风险和机遇对各项业务指标（如不良贷款率、利润率等）的影响。如果不良贷款率因可持续发展相关风险上升超过</w:t>
      </w:r>
      <w:r>
        <w:rPr>
          <w:rFonts w:ascii="等线" w:hAnsi="等线" w:eastAsia="等线"/>
          <w:b w:val="0"/>
          <w:sz w:val="21"/>
          <w:highlight w:val="yellow"/>
        </w:rPr>
        <w:t>[X]</w:t>
      </w:r>
      <w:r>
        <w:rPr>
          <w:rFonts w:ascii="等线" w:hAnsi="等线" w:eastAsia="等线"/>
          <w:b w:val="0"/>
          <w:sz w:val="21"/>
        </w:rPr>
        <w:t>个百分点，则启动应急措施。</w:t>
      </w:r>
    </w:p>
    <w:p>
      <w:pPr>
        <w:jc w:val="left"/>
      </w:pPr>
      <w:r>
        <w:rPr>
          <w:rFonts w:ascii="等线" w:hAnsi="等线" w:eastAsia="等线"/>
          <w:b w:val="0"/>
          <w:sz w:val="21"/>
        </w:rPr>
        <w:t>四、可持续发展相关影响、风险和机遇管理流程融入公司内部管理流程的情况及报告期内的调整情况</w:t>
      </w:r>
    </w:p>
    <w:p>
      <w:pPr>
        <w:jc w:val="left"/>
      </w:pPr>
      <w:r>
        <w:rPr>
          <w:rFonts w:ascii="等线" w:hAnsi="等线" w:eastAsia="等线"/>
          <w:b w:val="0"/>
          <w:sz w:val="21"/>
        </w:rPr>
        <w:t>1. 融入情况</w:t>
      </w:r>
    </w:p>
    <w:p>
      <w:pPr>
        <w:jc w:val="left"/>
      </w:pPr>
      <w:r>
        <w:rPr>
          <w:rFonts w:ascii="等线" w:hAnsi="等线" w:eastAsia="等线"/>
          <w:b w:val="0"/>
          <w:sz w:val="21"/>
        </w:rPr>
        <w:t>2. 将可持续发展风险评估纳入银行的全面风险管理框架。在信贷审批流程中，增加可持续发展风险评估环节，要求信贷员对每笔贷款的环境、社会和治理风险进行评估，评估结果作为贷款审批的重要依据。</w:t>
      </w:r>
    </w:p>
    <w:p>
      <w:pPr>
        <w:jc w:val="left"/>
      </w:pPr>
      <w:r>
        <w:rPr>
          <w:rFonts w:ascii="等线" w:hAnsi="等线" w:eastAsia="等线"/>
          <w:b w:val="0"/>
          <w:sz w:val="21"/>
        </w:rPr>
        <w:t>3. 在绩效考核体系中，将可持续发展相关指标纳入考核范围。例如，将员工在推动绿色金融业务发展、应对社会风险方面的表现，按照一定权重（如</w:t>
      </w:r>
      <w:r>
        <w:rPr>
          <w:rFonts w:ascii="等线" w:hAnsi="等线" w:eastAsia="等线"/>
          <w:b w:val="0"/>
          <w:sz w:val="21"/>
          <w:highlight w:val="yellow"/>
        </w:rPr>
        <w:t>[X]</w:t>
      </w:r>
      <w:r>
        <w:rPr>
          <w:rFonts w:ascii="等线" w:hAnsi="等线" w:eastAsia="等线"/>
          <w:b w:val="0"/>
          <w:sz w:val="21"/>
        </w:rPr>
        <w:t>%）计入年度绩效考核得分。</w:t>
      </w:r>
    </w:p>
    <w:p>
      <w:pPr>
        <w:jc w:val="left"/>
      </w:pPr>
      <w:r>
        <w:rPr>
          <w:rFonts w:ascii="等线" w:hAnsi="等线" w:eastAsia="等线"/>
          <w:b w:val="0"/>
          <w:sz w:val="21"/>
        </w:rPr>
        <w:t>4. 调整情况</w:t>
      </w:r>
    </w:p>
    <w:p>
      <w:pPr>
        <w:jc w:val="left"/>
      </w:pPr>
      <w:r>
        <w:rPr>
          <w:rFonts w:ascii="等线" w:hAnsi="等线" w:eastAsia="等线"/>
          <w:b w:val="0"/>
          <w:sz w:val="21"/>
        </w:rPr>
        <w:t>5. 在报告期内，根据国际可持续发展标准的更新，如全球报告倡议组织（GRI）标准的修订，对内部管理流程进行调整。例如，增加了对生物多样性保护相关风险的评估环节，调整了可持续发展相关风险在绩效考核中的权重，从</w:t>
      </w:r>
      <w:r>
        <w:rPr>
          <w:rFonts w:ascii="等线" w:hAnsi="等线" w:eastAsia="等线"/>
          <w:b w:val="0"/>
          <w:sz w:val="21"/>
          <w:highlight w:val="yellow"/>
        </w:rPr>
        <w:t>[X]</w:t>
      </w:r>
      <w:r>
        <w:rPr>
          <w:rFonts w:ascii="等线" w:hAnsi="等线" w:eastAsia="等线"/>
          <w:b w:val="0"/>
          <w:sz w:val="21"/>
        </w:rPr>
        <w:t>%提高到</w:t>
      </w:r>
      <w:r>
        <w:rPr>
          <w:rFonts w:ascii="等线" w:hAnsi="等线" w:eastAsia="等线"/>
          <w:b w:val="0"/>
          <w:sz w:val="21"/>
          <w:highlight w:val="yellow"/>
        </w:rPr>
        <w:t>[X]</w:t>
      </w:r>
      <w:r>
        <w:rPr>
          <w:rFonts w:ascii="等线" w:hAnsi="等线" w:eastAsia="等线"/>
          <w:b w:val="0"/>
          <w:sz w:val="21"/>
        </w:rPr>
        <w:t>%，以更好地适应国际市场对生物多样性保护的关注。</w:t>
      </w:r>
    </w:p>
    <w:p>
      <w:pPr>
        <w:pStyle w:val="Heading2"/>
      </w:pPr>
      <w:r>
        <w:rPr>
          <w:rFonts w:ascii="等线" w:hAnsi="等线" w:eastAsia="等线"/>
          <w:color w:val="000000"/>
          <w:sz w:val="32"/>
        </w:rPr>
        <w:t>目标与指标披露管理流程</w:t>
      </w:r>
    </w:p>
    <w:p>
      <w:pPr>
        <w:jc w:val="left"/>
      </w:pPr>
      <w:r>
        <w:rPr>
          <w:rFonts w:ascii="等线" w:hAnsi="等线" w:eastAsia="等线"/>
          <w:b w:val="0"/>
          <w:sz w:val="21"/>
        </w:rPr>
        <w:t>可持续发展目标与指标披露管理流程</w:t>
      </w:r>
    </w:p>
    <w:p>
      <w:pPr>
        <w:jc w:val="left"/>
      </w:pPr>
      <w:r>
        <w:rPr>
          <w:rFonts w:ascii="等线" w:hAnsi="等线" w:eastAsia="等线"/>
          <w:b w:val="0"/>
          <w:sz w:val="21"/>
        </w:rPr>
        <w:t>一、目标设定</w:t>
      </w:r>
    </w:p>
    <w:p>
      <w:pPr>
        <w:jc w:val="left"/>
      </w:pPr>
      <w:r>
        <w:rPr>
          <w:rFonts w:ascii="等线" w:hAnsi="等线" w:eastAsia="等线"/>
          <w:b w:val="0"/>
          <w:sz w:val="21"/>
        </w:rPr>
        <w:t>1. 环境目标</w:t>
      </w:r>
    </w:p>
    <w:p>
      <w:pPr>
        <w:jc w:val="left"/>
      </w:pPr>
      <w:r>
        <w:rPr>
          <w:rFonts w:ascii="等线" w:hAnsi="等线" w:eastAsia="等线"/>
          <w:b w:val="0"/>
          <w:sz w:val="21"/>
        </w:rPr>
        <w:t>2. 温室气体减排：设定到</w:t>
      </w:r>
      <w:r>
        <w:rPr>
          <w:rFonts w:ascii="等线" w:hAnsi="等线" w:eastAsia="等线"/>
          <w:b w:val="0"/>
          <w:sz w:val="21"/>
          <w:highlight w:val="yellow"/>
        </w:rPr>
        <w:t>[具体年份]</w:t>
      </w:r>
      <w:r>
        <w:rPr>
          <w:rFonts w:ascii="等线" w:hAnsi="等线" w:eastAsia="等线"/>
          <w:b w:val="0"/>
          <w:sz w:val="21"/>
        </w:rPr>
        <w:t>将本行运营过程中的温室气体排放量较</w:t>
      </w:r>
      <w:r>
        <w:rPr>
          <w:rFonts w:ascii="等线" w:hAnsi="等线" w:eastAsia="等线"/>
          <w:b w:val="0"/>
          <w:sz w:val="21"/>
          <w:highlight w:val="yellow"/>
        </w:rPr>
        <w:t>[基准年份]</w:t>
      </w:r>
      <w:r>
        <w:rPr>
          <w:rFonts w:ascii="等线" w:hAnsi="等线" w:eastAsia="等线"/>
          <w:b w:val="0"/>
          <w:sz w:val="21"/>
        </w:rPr>
        <w:t>减少</w:t>
      </w:r>
      <w:r>
        <w:rPr>
          <w:rFonts w:ascii="等线" w:hAnsi="等线" w:eastAsia="等线"/>
          <w:b w:val="0"/>
          <w:sz w:val="21"/>
          <w:highlight w:val="yellow"/>
        </w:rPr>
        <w:t>[X]</w:t>
      </w:r>
      <w:r>
        <w:rPr>
          <w:rFonts w:ascii="等线" w:hAnsi="等线" w:eastAsia="等线"/>
          <w:b w:val="0"/>
          <w:sz w:val="21"/>
        </w:rPr>
        <w:t>%的目标。其中，二氧化碳排放量是重点关注指标，以公吨（t）为单位进行计量。通过对本行办公场所、数据中心等能源消耗设施的能源使用情况进行详细监测，计算出每年度的二氧化碳排放量。</w:t>
      </w:r>
    </w:p>
    <w:p>
      <w:pPr>
        <w:jc w:val="left"/>
      </w:pPr>
      <w:r>
        <w:rPr>
          <w:rFonts w:ascii="等线" w:hAnsi="等线" w:eastAsia="等线"/>
          <w:b w:val="0"/>
          <w:sz w:val="21"/>
        </w:rPr>
        <w:t>3. 水资源管理：目标是在</w:t>
      </w:r>
      <w:r>
        <w:rPr>
          <w:rFonts w:ascii="等线" w:hAnsi="等线" w:eastAsia="等线"/>
          <w:b w:val="0"/>
          <w:sz w:val="21"/>
          <w:highlight w:val="yellow"/>
        </w:rPr>
        <w:t>[具体年份]</w:t>
      </w:r>
      <w:r>
        <w:rPr>
          <w:rFonts w:ascii="等线" w:hAnsi="等线" w:eastAsia="等线"/>
          <w:b w:val="0"/>
          <w:sz w:val="21"/>
        </w:rPr>
        <w:t>实现单位业务量的水资源消耗较</w:t>
      </w:r>
      <w:r>
        <w:rPr>
          <w:rFonts w:ascii="等线" w:hAnsi="等线" w:eastAsia="等线"/>
          <w:b w:val="0"/>
          <w:sz w:val="21"/>
          <w:highlight w:val="yellow"/>
        </w:rPr>
        <w:t>[基准年份]</w:t>
      </w:r>
      <w:r>
        <w:rPr>
          <w:rFonts w:ascii="等线" w:hAnsi="等线" w:eastAsia="等线"/>
          <w:b w:val="0"/>
          <w:sz w:val="21"/>
        </w:rPr>
        <w:t>降低</w:t>
      </w:r>
      <w:r>
        <w:rPr>
          <w:rFonts w:ascii="等线" w:hAnsi="等线" w:eastAsia="等线"/>
          <w:b w:val="0"/>
          <w:sz w:val="21"/>
          <w:highlight w:val="yellow"/>
        </w:rPr>
        <w:t>[X]</w:t>
      </w:r>
      <w:r>
        <w:rPr>
          <w:rFonts w:ascii="等线" w:hAnsi="等线" w:eastAsia="等线"/>
          <w:b w:val="0"/>
          <w:sz w:val="21"/>
        </w:rPr>
        <w:t>立方米/</w:t>
      </w:r>
      <w:r>
        <w:rPr>
          <w:rFonts w:ascii="等线" w:hAnsi="等线" w:eastAsia="等线"/>
          <w:b w:val="0"/>
          <w:sz w:val="21"/>
          <w:highlight w:val="yellow"/>
        </w:rPr>
        <w:t>[业务量单位，如每笔交易]</w:t>
      </w:r>
      <w:r>
        <w:rPr>
          <w:rFonts w:ascii="等线" w:hAnsi="等线" w:eastAsia="等线"/>
          <w:b w:val="0"/>
          <w:sz w:val="21"/>
        </w:rPr>
        <w:t>。本行通过安装智能水表等设备，精确统计水资源的使用量，涵盖办公区域的饮用水、清洁用水等所有用水环节。</w:t>
      </w:r>
    </w:p>
    <w:p>
      <w:pPr>
        <w:jc w:val="left"/>
      </w:pPr>
      <w:r>
        <w:rPr>
          <w:rFonts w:ascii="等线" w:hAnsi="等线" w:eastAsia="等线"/>
          <w:b w:val="0"/>
          <w:sz w:val="21"/>
        </w:rPr>
        <w:t>4. 废弃物管理：计划在</w:t>
      </w:r>
      <w:r>
        <w:rPr>
          <w:rFonts w:ascii="等线" w:hAnsi="等线" w:eastAsia="等线"/>
          <w:b w:val="0"/>
          <w:sz w:val="21"/>
          <w:highlight w:val="yellow"/>
        </w:rPr>
        <w:t>[具体年份]</w:t>
      </w:r>
      <w:r>
        <w:rPr>
          <w:rFonts w:ascii="等线" w:hAnsi="等线" w:eastAsia="等线"/>
          <w:b w:val="0"/>
          <w:sz w:val="21"/>
        </w:rPr>
        <w:t>将本行运营产生的废弃物总量较</w:t>
      </w:r>
      <w:r>
        <w:rPr>
          <w:rFonts w:ascii="等线" w:hAnsi="等线" w:eastAsia="等线"/>
          <w:b w:val="0"/>
          <w:sz w:val="21"/>
          <w:highlight w:val="yellow"/>
        </w:rPr>
        <w:t>[基准年份]</w:t>
      </w:r>
      <w:r>
        <w:rPr>
          <w:rFonts w:ascii="等线" w:hAnsi="等线" w:eastAsia="等线"/>
          <w:b w:val="0"/>
          <w:sz w:val="21"/>
        </w:rPr>
        <w:t>减少</w:t>
      </w:r>
      <w:r>
        <w:rPr>
          <w:rFonts w:ascii="等线" w:hAnsi="等线" w:eastAsia="等线"/>
          <w:b w:val="0"/>
          <w:sz w:val="21"/>
          <w:highlight w:val="yellow"/>
        </w:rPr>
        <w:t>[X]</w:t>
      </w:r>
      <w:r>
        <w:rPr>
          <w:rFonts w:ascii="等线" w:hAnsi="等线" w:eastAsia="等线"/>
          <w:b w:val="0"/>
          <w:sz w:val="21"/>
        </w:rPr>
        <w:t>%，并将可回收废弃物的回收率提高到</w:t>
      </w:r>
      <w:r>
        <w:rPr>
          <w:rFonts w:ascii="等线" w:hAnsi="等线" w:eastAsia="等线"/>
          <w:b w:val="0"/>
          <w:sz w:val="21"/>
          <w:highlight w:val="yellow"/>
        </w:rPr>
        <w:t>[X]</w:t>
      </w:r>
      <w:r>
        <w:rPr>
          <w:rFonts w:ascii="等线" w:hAnsi="等线" w:eastAsia="等线"/>
          <w:b w:val="0"/>
          <w:sz w:val="21"/>
        </w:rPr>
        <w:t>%。废弃物总量以千克（kg）为单位进行统计，可回收废弃物如纸张、塑料瓶等单独分类统计。</w:t>
      </w:r>
    </w:p>
    <w:p>
      <w:pPr>
        <w:jc w:val="left"/>
      </w:pPr>
      <w:r>
        <w:rPr>
          <w:rFonts w:ascii="等线" w:hAnsi="等线" w:eastAsia="等线"/>
          <w:b w:val="0"/>
          <w:sz w:val="21"/>
        </w:rPr>
        <w:t>5. 社会目标</w:t>
      </w:r>
    </w:p>
    <w:p>
      <w:pPr>
        <w:jc w:val="left"/>
      </w:pPr>
      <w:r>
        <w:rPr>
          <w:rFonts w:ascii="等线" w:hAnsi="等线" w:eastAsia="等线"/>
          <w:b w:val="0"/>
          <w:sz w:val="21"/>
        </w:rPr>
        <w:t>6. 金融普惠：设定目标为到</w:t>
      </w:r>
      <w:r>
        <w:rPr>
          <w:rFonts w:ascii="等线" w:hAnsi="等线" w:eastAsia="等线"/>
          <w:b w:val="0"/>
          <w:sz w:val="21"/>
          <w:highlight w:val="yellow"/>
        </w:rPr>
        <w:t>[具体年份]</w:t>
      </w:r>
      <w:r>
        <w:rPr>
          <w:rFonts w:ascii="等线" w:hAnsi="等线" w:eastAsia="等线"/>
          <w:b w:val="0"/>
          <w:sz w:val="21"/>
        </w:rPr>
        <w:t>将金融服务覆盖到</w:t>
      </w:r>
      <w:r>
        <w:rPr>
          <w:rFonts w:ascii="等线" w:hAnsi="等线" w:eastAsia="等线"/>
          <w:b w:val="0"/>
          <w:sz w:val="21"/>
          <w:highlight w:val="yellow"/>
        </w:rPr>
        <w:t>[X]</w:t>
      </w:r>
      <w:r>
        <w:rPr>
          <w:rFonts w:ascii="等线" w:hAnsi="等线" w:eastAsia="等线"/>
          <w:b w:val="0"/>
          <w:sz w:val="21"/>
        </w:rPr>
        <w:t>个未被充分服务的社区或群体，以社区数量和服务人群数量（以人计数）为衡量指标。通过在偏远地区开设分支机构、推广移动金融服务等方式来实现这一目标。</w:t>
      </w:r>
    </w:p>
    <w:p>
      <w:pPr>
        <w:jc w:val="left"/>
      </w:pPr>
      <w:r>
        <w:rPr>
          <w:rFonts w:ascii="等线" w:hAnsi="等线" w:eastAsia="等线"/>
          <w:b w:val="0"/>
          <w:sz w:val="21"/>
        </w:rPr>
        <w:t>7. 员工发展：目标是在</w:t>
      </w:r>
      <w:r>
        <w:rPr>
          <w:rFonts w:ascii="等线" w:hAnsi="等线" w:eastAsia="等线"/>
          <w:b w:val="0"/>
          <w:sz w:val="21"/>
          <w:highlight w:val="yellow"/>
        </w:rPr>
        <w:t>[具体年份]</w:t>
      </w:r>
      <w:r>
        <w:rPr>
          <w:rFonts w:ascii="等线" w:hAnsi="等线" w:eastAsia="等线"/>
          <w:b w:val="0"/>
          <w:sz w:val="21"/>
        </w:rPr>
        <w:t>使员工接受专业培训的平均时长达到</w:t>
      </w:r>
      <w:r>
        <w:rPr>
          <w:rFonts w:ascii="等线" w:hAnsi="等线" w:eastAsia="等线"/>
          <w:b w:val="0"/>
          <w:sz w:val="21"/>
          <w:highlight w:val="yellow"/>
        </w:rPr>
        <w:t>[X]</w:t>
      </w:r>
      <w:r>
        <w:rPr>
          <w:rFonts w:ascii="等线" w:hAnsi="等线" w:eastAsia="等线"/>
          <w:b w:val="0"/>
          <w:sz w:val="21"/>
        </w:rPr>
        <w:t>小时/人。培训内容包括金融业务知识、风险管理、ESG相关知识等，通过内部培训系统记录员工的培训时长并进行统计分析。</w:t>
      </w:r>
    </w:p>
    <w:p>
      <w:pPr>
        <w:jc w:val="left"/>
      </w:pPr>
      <w:r>
        <w:rPr>
          <w:rFonts w:ascii="等线" w:hAnsi="等线" w:eastAsia="等线"/>
          <w:b w:val="0"/>
          <w:sz w:val="21"/>
        </w:rPr>
        <w:t>8. 客户满意度：以客户满意度评分达到</w:t>
      </w:r>
      <w:r>
        <w:rPr>
          <w:rFonts w:ascii="等线" w:hAnsi="等线" w:eastAsia="等线"/>
          <w:b w:val="0"/>
          <w:sz w:val="21"/>
          <w:highlight w:val="yellow"/>
        </w:rPr>
        <w:t>[X]</w:t>
      </w:r>
      <w:r>
        <w:rPr>
          <w:rFonts w:ascii="等线" w:hAnsi="等线" w:eastAsia="等线"/>
          <w:b w:val="0"/>
          <w:sz w:val="21"/>
        </w:rPr>
        <w:t>分为目标（满分100分）。通过定期的客户满意度调查，收集客户对本行服务质量、产品多样性、费用合理性等方面的反馈，计算出综合满意度评分。</w:t>
      </w:r>
    </w:p>
    <w:p>
      <w:pPr>
        <w:jc w:val="left"/>
      </w:pPr>
      <w:r>
        <w:rPr>
          <w:rFonts w:ascii="等线" w:hAnsi="等线" w:eastAsia="等线"/>
          <w:b w:val="0"/>
          <w:sz w:val="21"/>
        </w:rPr>
        <w:t>9. 治理目标</w:t>
      </w:r>
    </w:p>
    <w:p>
      <w:pPr>
        <w:jc w:val="left"/>
      </w:pPr>
      <w:r>
        <w:rPr>
          <w:rFonts w:ascii="等线" w:hAnsi="等线" w:eastAsia="等线"/>
          <w:b w:val="0"/>
          <w:sz w:val="21"/>
        </w:rPr>
        <w:t>10. 合规管理：确保本行在</w:t>
      </w:r>
      <w:r>
        <w:rPr>
          <w:rFonts w:ascii="等线" w:hAnsi="等线" w:eastAsia="等线"/>
          <w:b w:val="0"/>
          <w:sz w:val="21"/>
          <w:highlight w:val="yellow"/>
        </w:rPr>
        <w:t>[具体年份]</w:t>
      </w:r>
      <w:r>
        <w:rPr>
          <w:rFonts w:ascii="等线" w:hAnsi="等线" w:eastAsia="等线"/>
          <w:b w:val="0"/>
          <w:sz w:val="21"/>
        </w:rPr>
        <w:t>的合规率达到</w:t>
      </w:r>
      <w:r>
        <w:rPr>
          <w:rFonts w:ascii="等线" w:hAnsi="等线" w:eastAsia="等线"/>
          <w:b w:val="0"/>
          <w:sz w:val="21"/>
          <w:highlight w:val="yellow"/>
        </w:rPr>
        <w:t>[X]</w:t>
      </w:r>
      <w:r>
        <w:rPr>
          <w:rFonts w:ascii="等线" w:hAnsi="等线" w:eastAsia="等线"/>
          <w:b w:val="0"/>
          <w:sz w:val="21"/>
        </w:rPr>
        <w:t>%以上。合规率的计算是将本行符合各项法律法规、监管要求的业务数量除以总业务数量得到的比例。通过建立完善的合规监测系统，对本行的各项业务活动进行实时监控。</w:t>
      </w:r>
    </w:p>
    <w:p>
      <w:pPr>
        <w:jc w:val="left"/>
      </w:pPr>
      <w:r>
        <w:rPr>
          <w:rFonts w:ascii="等线" w:hAnsi="等线" w:eastAsia="等线"/>
          <w:b w:val="0"/>
          <w:sz w:val="21"/>
        </w:rPr>
        <w:t>二、指标管理</w:t>
      </w:r>
    </w:p>
    <w:p>
      <w:pPr>
        <w:jc w:val="left"/>
      </w:pPr>
      <w:r>
        <w:rPr>
          <w:rFonts w:ascii="等线" w:hAnsi="等线" w:eastAsia="等线"/>
          <w:b w:val="0"/>
          <w:sz w:val="21"/>
        </w:rPr>
        <w:t>1. 数据收集</w:t>
      </w:r>
    </w:p>
    <w:p>
      <w:pPr>
        <w:jc w:val="left"/>
      </w:pPr>
      <w:r>
        <w:rPr>
          <w:rFonts w:ascii="等线" w:hAnsi="等线" w:eastAsia="等线"/>
          <w:b w:val="0"/>
          <w:sz w:val="21"/>
        </w:rPr>
        <w:t>2. 建立专门的数据收集系统，对于环境指标，如能源消耗数据，每月从各办公场所和数据中心的能源计量设备中收集；对于社会指标，如员工培训时长，通过人力资源管理系统每月进行数据更新；对于治理指标，如合规情况，由合规部门每周进行业务审查并记录相关数据。</w:t>
      </w:r>
    </w:p>
    <w:p>
      <w:pPr>
        <w:jc w:val="left"/>
      </w:pPr>
      <w:r>
        <w:rPr>
          <w:rFonts w:ascii="等线" w:hAnsi="等线" w:eastAsia="等线"/>
          <w:b w:val="0"/>
          <w:sz w:val="21"/>
        </w:rPr>
        <w:t>3. 数据验证</w:t>
      </w:r>
    </w:p>
    <w:p>
      <w:pPr>
        <w:jc w:val="left"/>
      </w:pPr>
      <w:r>
        <w:rPr>
          <w:rFonts w:ascii="等线" w:hAnsi="等线" w:eastAsia="等线"/>
          <w:b w:val="0"/>
          <w:sz w:val="21"/>
        </w:rPr>
        <w:t>4. 设立数据验证小组，每季度对收集到的数据进行验证。对于环境数据，验证其计量设备的准确性，与外部专业机构的数据进行比对（如能源消耗数据可与电力公司、水务公司的数据进行核对）；对于社会和治理数据，通过抽样调查、内部审计等方式进行验证，确保数据的真实性和可靠性。</w:t>
      </w:r>
    </w:p>
    <w:p>
      <w:pPr>
        <w:jc w:val="left"/>
      </w:pPr>
      <w:r>
        <w:rPr>
          <w:rFonts w:ascii="等线" w:hAnsi="等线" w:eastAsia="等线"/>
          <w:b w:val="0"/>
          <w:sz w:val="21"/>
        </w:rPr>
        <w:t>5. 目标进展评估</w:t>
      </w:r>
    </w:p>
    <w:p>
      <w:pPr>
        <w:jc w:val="left"/>
      </w:pPr>
      <w:r>
        <w:rPr>
          <w:rFonts w:ascii="等线" w:hAnsi="等线" w:eastAsia="等线"/>
          <w:b w:val="0"/>
          <w:sz w:val="21"/>
        </w:rPr>
        <w:t>6. 每年进行一次目标进展评估。对于环境目标，计算实际减排量、水资源节约量、废弃物减少量等与目标值的差距；对于社会目标，分析金融普惠覆盖范围的扩展情况、员工培训时长的达标情况、客户满意度的提升情况；对于治理目标，评估合规率是否达到预定目标。根据评估结果调整下一年度的工作计划和目标设定，以确保可持续发展目标的逐步实现。</w:t>
      </w:r>
    </w:p>
    <w:p>
      <w:pPr>
        <w:jc w:val="left"/>
      </w:pPr>
      <w:r>
        <w:rPr>
          <w:rFonts w:ascii="等线" w:hAnsi="等线" w:eastAsia="等线"/>
          <w:b w:val="0"/>
          <w:sz w:val="21"/>
        </w:rPr>
        <w:t>三、报告期末目标整体实现情况及报告期内进展</w:t>
      </w:r>
    </w:p>
    <w:p>
      <w:pPr>
        <w:jc w:val="left"/>
      </w:pPr>
      <w:r>
        <w:rPr>
          <w:rFonts w:ascii="等线" w:hAnsi="等线" w:eastAsia="等线"/>
          <w:b w:val="0"/>
          <w:sz w:val="21"/>
        </w:rPr>
        <w:t>1. 报告期末整体实现情况</w:t>
      </w:r>
    </w:p>
    <w:p>
      <w:pPr>
        <w:jc w:val="left"/>
      </w:pPr>
      <w:r>
        <w:rPr>
          <w:rFonts w:ascii="等线" w:hAnsi="等线" w:eastAsia="等线"/>
          <w:b w:val="0"/>
          <w:sz w:val="21"/>
        </w:rPr>
        <w:t>2. 在环境方面，</w:t>
      </w:r>
      <w:r>
        <w:rPr>
          <w:rFonts w:ascii="等线" w:hAnsi="等线" w:eastAsia="等线"/>
          <w:b w:val="0"/>
          <w:sz w:val="21"/>
          <w:highlight w:val="yellow"/>
        </w:rPr>
        <w:t>[具体年份]</w:t>
      </w:r>
      <w:r>
        <w:rPr>
          <w:rFonts w:ascii="等线" w:hAnsi="等线" w:eastAsia="等线"/>
          <w:b w:val="0"/>
          <w:sz w:val="21"/>
        </w:rPr>
        <w:t>末温室气体排放量较</w:t>
      </w:r>
      <w:r>
        <w:rPr>
          <w:rFonts w:ascii="等线" w:hAnsi="等线" w:eastAsia="等线"/>
          <w:b w:val="0"/>
          <w:sz w:val="21"/>
          <w:highlight w:val="yellow"/>
        </w:rPr>
        <w:t>[基准年份]</w:t>
      </w:r>
      <w:r>
        <w:rPr>
          <w:rFonts w:ascii="等线" w:hAnsi="等线" w:eastAsia="等线"/>
          <w:b w:val="0"/>
          <w:sz w:val="21"/>
        </w:rPr>
        <w:t>实际减少了</w:t>
      </w:r>
      <w:r>
        <w:rPr>
          <w:rFonts w:ascii="等线" w:hAnsi="等线" w:eastAsia="等线"/>
          <w:b w:val="0"/>
          <w:sz w:val="21"/>
          <w:highlight w:val="yellow"/>
        </w:rPr>
        <w:t>[X]</w:t>
      </w:r>
      <w:r>
        <w:rPr>
          <w:rFonts w:ascii="等线" w:hAnsi="等线" w:eastAsia="等线"/>
          <w:b w:val="0"/>
          <w:sz w:val="21"/>
        </w:rPr>
        <w:t>%，水资源消耗单位业务量降低了</w:t>
      </w:r>
      <w:r>
        <w:rPr>
          <w:rFonts w:ascii="等线" w:hAnsi="等线" w:eastAsia="等线"/>
          <w:b w:val="0"/>
          <w:sz w:val="21"/>
          <w:highlight w:val="yellow"/>
        </w:rPr>
        <w:t>[X]</w:t>
      </w:r>
      <w:r>
        <w:rPr>
          <w:rFonts w:ascii="等线" w:hAnsi="等线" w:eastAsia="等线"/>
          <w:b w:val="0"/>
          <w:sz w:val="21"/>
        </w:rPr>
        <w:t>立方米/</w:t>
      </w:r>
      <w:r>
        <w:rPr>
          <w:rFonts w:ascii="等线" w:hAnsi="等线" w:eastAsia="等线"/>
          <w:b w:val="0"/>
          <w:sz w:val="21"/>
          <w:highlight w:val="yellow"/>
        </w:rPr>
        <w:t>[业务量单位]</w:t>
      </w:r>
      <w:r>
        <w:rPr>
          <w:rFonts w:ascii="等线" w:hAnsi="等线" w:eastAsia="等线"/>
          <w:b w:val="0"/>
          <w:sz w:val="21"/>
        </w:rPr>
        <w:t>，废弃物总量减少了</w:t>
      </w:r>
      <w:r>
        <w:rPr>
          <w:rFonts w:ascii="等线" w:hAnsi="等线" w:eastAsia="等线"/>
          <w:b w:val="0"/>
          <w:sz w:val="21"/>
          <w:highlight w:val="yellow"/>
        </w:rPr>
        <w:t>[X]</w:t>
      </w:r>
      <w:r>
        <w:rPr>
          <w:rFonts w:ascii="等线" w:hAnsi="等线" w:eastAsia="等线"/>
          <w:b w:val="0"/>
          <w:sz w:val="21"/>
        </w:rPr>
        <w:t>%，可回收废弃物回收率达到了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在社会方面，金融服务覆盖到了</w:t>
      </w:r>
      <w:r>
        <w:rPr>
          <w:rFonts w:ascii="等线" w:hAnsi="等线" w:eastAsia="等线"/>
          <w:b w:val="0"/>
          <w:sz w:val="21"/>
          <w:highlight w:val="yellow"/>
        </w:rPr>
        <w:t>[X]</w:t>
      </w:r>
      <w:r>
        <w:rPr>
          <w:rFonts w:ascii="等线" w:hAnsi="等线" w:eastAsia="等线"/>
          <w:b w:val="0"/>
          <w:sz w:val="21"/>
        </w:rPr>
        <w:t>个未被充分服务的社区或群体，员工接受专业培训的平均时长为</w:t>
      </w:r>
      <w:r>
        <w:rPr>
          <w:rFonts w:ascii="等线" w:hAnsi="等线" w:eastAsia="等线"/>
          <w:b w:val="0"/>
          <w:sz w:val="21"/>
          <w:highlight w:val="yellow"/>
        </w:rPr>
        <w:t>[X]</w:t>
      </w:r>
      <w:r>
        <w:rPr>
          <w:rFonts w:ascii="等线" w:hAnsi="等线" w:eastAsia="等线"/>
          <w:b w:val="0"/>
          <w:sz w:val="21"/>
        </w:rPr>
        <w:t>小时/人，客户满意度评分达到了</w:t>
      </w:r>
      <w:r>
        <w:rPr>
          <w:rFonts w:ascii="等线" w:hAnsi="等线" w:eastAsia="等线"/>
          <w:b w:val="0"/>
          <w:sz w:val="21"/>
          <w:highlight w:val="yellow"/>
        </w:rPr>
        <w:t>[X]</w:t>
      </w:r>
      <w:r>
        <w:rPr>
          <w:rFonts w:ascii="等线" w:hAnsi="等线" w:eastAsia="等线"/>
          <w:b w:val="0"/>
          <w:sz w:val="21"/>
        </w:rPr>
        <w:t>分。</w:t>
      </w:r>
    </w:p>
    <w:p>
      <w:pPr>
        <w:jc w:val="left"/>
      </w:pPr>
      <w:r>
        <w:rPr>
          <w:rFonts w:ascii="等线" w:hAnsi="等线" w:eastAsia="等线"/>
          <w:b w:val="0"/>
          <w:sz w:val="21"/>
        </w:rPr>
        <w:t>4. 在治理方面，合规率达到了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5. 报告期内进展情况</w:t>
      </w:r>
    </w:p>
    <w:p>
      <w:pPr>
        <w:jc w:val="left"/>
      </w:pPr>
      <w:r>
        <w:rPr>
          <w:rFonts w:ascii="等线" w:hAnsi="等线" w:eastAsia="等线"/>
          <w:b w:val="0"/>
          <w:sz w:val="21"/>
        </w:rPr>
        <w:t>6. 在报告期内，环境目标方面，通过节能措施的实施，如办公场所采用节能设备，能源消耗同比降低了</w:t>
      </w:r>
      <w:r>
        <w:rPr>
          <w:rFonts w:ascii="等线" w:hAnsi="等线" w:eastAsia="等线"/>
          <w:b w:val="0"/>
          <w:sz w:val="21"/>
          <w:highlight w:val="yellow"/>
        </w:rPr>
        <w:t>[X]</w:t>
      </w:r>
      <w:r>
        <w:rPr>
          <w:rFonts w:ascii="等线" w:hAnsi="等线" w:eastAsia="等线"/>
          <w:b w:val="0"/>
          <w:sz w:val="21"/>
        </w:rPr>
        <w:t>%，水资源通过节水器具的推广使用，消耗降低了</w:t>
      </w:r>
      <w:r>
        <w:rPr>
          <w:rFonts w:ascii="等线" w:hAnsi="等线" w:eastAsia="等线"/>
          <w:b w:val="0"/>
          <w:sz w:val="21"/>
          <w:highlight w:val="yellow"/>
        </w:rPr>
        <w:t>[X]</w:t>
      </w:r>
      <w:r>
        <w:rPr>
          <w:rFonts w:ascii="等线" w:hAnsi="等线" w:eastAsia="等线"/>
          <w:b w:val="0"/>
          <w:sz w:val="21"/>
        </w:rPr>
        <w:t>立方米/</w:t>
      </w:r>
      <w:r>
        <w:rPr>
          <w:rFonts w:ascii="等线" w:hAnsi="等线" w:eastAsia="等线"/>
          <w:b w:val="0"/>
          <w:sz w:val="21"/>
          <w:highlight w:val="yellow"/>
        </w:rPr>
        <w:t>[业务量单位]</w:t>
      </w:r>
      <w:r>
        <w:rPr>
          <w:rFonts w:ascii="等线" w:hAnsi="等线" w:eastAsia="等线"/>
          <w:b w:val="0"/>
          <w:sz w:val="21"/>
        </w:rPr>
        <w:t>。废弃物管理方面，通过加强分类回收宣传，可回收废弃物回收率较上一年度提高了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7. 在社会目标方面，新开设了</w:t>
      </w:r>
      <w:r>
        <w:rPr>
          <w:rFonts w:ascii="等线" w:hAnsi="等线" w:eastAsia="等线"/>
          <w:b w:val="0"/>
          <w:sz w:val="21"/>
          <w:highlight w:val="yellow"/>
        </w:rPr>
        <w:t>[X]</w:t>
      </w:r>
      <w:r>
        <w:rPr>
          <w:rFonts w:ascii="等线" w:hAnsi="等线" w:eastAsia="等线"/>
          <w:b w:val="0"/>
          <w:sz w:val="21"/>
        </w:rPr>
        <w:t>个偏远地区分支机构，金融普惠服务人群新增了</w:t>
      </w:r>
      <w:r>
        <w:rPr>
          <w:rFonts w:ascii="等线" w:hAnsi="等线" w:eastAsia="等线"/>
          <w:b w:val="0"/>
          <w:sz w:val="21"/>
          <w:highlight w:val="yellow"/>
        </w:rPr>
        <w:t>[X]</w:t>
      </w:r>
      <w:r>
        <w:rPr>
          <w:rFonts w:ascii="等线" w:hAnsi="等线" w:eastAsia="等线"/>
          <w:b w:val="0"/>
          <w:sz w:val="21"/>
        </w:rPr>
        <w:t>人。员工培训方面，组织了</w:t>
      </w:r>
      <w:r>
        <w:rPr>
          <w:rFonts w:ascii="等线" w:hAnsi="等线" w:eastAsia="等线"/>
          <w:b w:val="0"/>
          <w:sz w:val="21"/>
          <w:highlight w:val="yellow"/>
        </w:rPr>
        <w:t>[X]</w:t>
      </w:r>
      <w:r>
        <w:rPr>
          <w:rFonts w:ascii="等线" w:hAnsi="等线" w:eastAsia="等线"/>
          <w:b w:val="0"/>
          <w:sz w:val="21"/>
        </w:rPr>
        <w:t>次大型培训活动，员工培训时长较上一年度增加了</w:t>
      </w:r>
      <w:r>
        <w:rPr>
          <w:rFonts w:ascii="等线" w:hAnsi="等线" w:eastAsia="等线"/>
          <w:b w:val="0"/>
          <w:sz w:val="21"/>
          <w:highlight w:val="yellow"/>
        </w:rPr>
        <w:t>[X]</w:t>
      </w:r>
      <w:r>
        <w:rPr>
          <w:rFonts w:ascii="等线" w:hAnsi="等线" w:eastAsia="等线"/>
          <w:b w:val="0"/>
          <w:sz w:val="21"/>
        </w:rPr>
        <w:t>小时/人。客户满意度方面，通过服务质量提升举措，评分较上一年度提高了</w:t>
      </w:r>
      <w:r>
        <w:rPr>
          <w:rFonts w:ascii="等线" w:hAnsi="等线" w:eastAsia="等线"/>
          <w:b w:val="0"/>
          <w:sz w:val="21"/>
          <w:highlight w:val="yellow"/>
        </w:rPr>
        <w:t>[X]</w:t>
      </w:r>
      <w:r>
        <w:rPr>
          <w:rFonts w:ascii="等线" w:hAnsi="等线" w:eastAsia="等线"/>
          <w:b w:val="0"/>
          <w:sz w:val="21"/>
        </w:rPr>
        <w:t>分。</w:t>
      </w:r>
    </w:p>
    <w:p>
      <w:pPr>
        <w:jc w:val="left"/>
      </w:pPr>
      <w:r>
        <w:rPr>
          <w:rFonts w:ascii="等线" w:hAnsi="等线" w:eastAsia="等线"/>
          <w:b w:val="0"/>
          <w:sz w:val="21"/>
        </w:rPr>
        <w:t>8. 在治理目标方面，通过加强合规制度建设和内部监督，合规率较上一年度提高了</w:t>
      </w:r>
      <w:r>
        <w:rPr>
          <w:rFonts w:ascii="等线" w:hAnsi="等线" w:eastAsia="等线"/>
          <w:b w:val="0"/>
          <w:sz w:val="21"/>
          <w:highlight w:val="yellow"/>
        </w:rPr>
        <w:t>[X]</w:t>
      </w:r>
      <w:r>
        <w:rPr>
          <w:rFonts w:ascii="等线" w:hAnsi="等线" w:eastAsia="等线"/>
          <w:b w:val="0"/>
          <w:sz w:val="21"/>
        </w:rPr>
        <w:t>%。</w:t>
      </w:r>
    </w:p>
    <w:p>
      <w:r>
        <w:br w:type="page"/>
      </w:r>
    </w:p>
    <w:p>
      <w:pPr>
        <w:pStyle w:val="Heading1"/>
      </w:pPr>
      <w:r>
        <w:rPr>
          <w:rFonts w:ascii="等线" w:hAnsi="等线" w:eastAsia="等线"/>
          <w:color w:val="000000"/>
          <w:sz w:val="44"/>
        </w:rPr>
        <w:t>环境</w:t>
      </w:r>
    </w:p>
    <w:p>
      <w:pPr>
        <w:pStyle w:val="Heading2"/>
      </w:pPr>
      <w:r>
        <w:rPr>
          <w:rFonts w:ascii="等线" w:hAnsi="等线" w:eastAsia="等线"/>
          <w:color w:val="000000"/>
          <w:sz w:val="32"/>
        </w:rPr>
        <w:t>应对气候变化</w:t>
      </w:r>
    </w:p>
    <w:p>
      <w:pPr>
        <w:pStyle w:val="Heading3"/>
      </w:pPr>
      <w:r>
        <w:rPr>
          <w:rFonts w:ascii="等线" w:hAnsi="等线" w:eastAsia="等线"/>
          <w:color w:val="000000"/>
          <w:sz w:val="28"/>
        </w:rPr>
        <w:t>绿色低碳发展整体情况</w:t>
      </w:r>
    </w:p>
    <w:p>
      <w:pPr>
        <w:jc w:val="left"/>
      </w:pPr>
      <w:r>
        <w:rPr>
          <w:rFonts w:ascii="等线" w:hAnsi="等线" w:eastAsia="等线"/>
          <w:b w:val="0"/>
          <w:sz w:val="21"/>
        </w:rPr>
        <w:t>一、工艺改进与生产设备升级</w:t>
      </w:r>
    </w:p>
    <w:p>
      <w:pPr>
        <w:jc w:val="left"/>
      </w:pPr>
      <w:r>
        <w:rPr>
          <w:rFonts w:ascii="等线" w:hAnsi="等线" w:eastAsia="等线"/>
          <w:b w:val="0"/>
          <w:sz w:val="21"/>
        </w:rPr>
        <w:t>在实现绿色低碳发展的进程中，本银行积极推动相关企业（我们的客户涵盖众多行业企业）改进工艺并升级生产设备。例如，我们为制造业企业提供专门的绿色信贷，鼓励其采用先进的节能减排生产工艺。在过去的</w:t>
      </w:r>
      <w:r>
        <w:rPr>
          <w:rFonts w:ascii="等线" w:hAnsi="等线" w:eastAsia="等线"/>
          <w:b w:val="0"/>
          <w:sz w:val="21"/>
          <w:highlight w:val="yellow"/>
        </w:rPr>
        <w:t>[X]</w:t>
      </w:r>
      <w:r>
        <w:rPr>
          <w:rFonts w:ascii="等线" w:hAnsi="等线" w:eastAsia="等线"/>
          <w:b w:val="0"/>
          <w:sz w:val="21"/>
        </w:rPr>
        <w:t>年里，通过我们的融资支持，约</w:t>
      </w:r>
      <w:r>
        <w:rPr>
          <w:rFonts w:ascii="等线" w:hAnsi="等线" w:eastAsia="等线"/>
          <w:b w:val="0"/>
          <w:sz w:val="21"/>
          <w:highlight w:val="yellow"/>
        </w:rPr>
        <w:t>[X]</w:t>
      </w:r>
      <w:r>
        <w:rPr>
          <w:rFonts w:ascii="等线" w:hAnsi="等线" w:eastAsia="等线"/>
          <w:b w:val="0"/>
          <w:sz w:val="21"/>
        </w:rPr>
        <w:t>家企业完成了关键生产环节的工艺改进，这些企业平均单位产品能耗降低了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在生产设备升级方面，我们设定了明确的贷款投向标准。对于那些计划购置高效节能设备的企业给予优惠贷款利率。据统计，已有</w:t>
      </w:r>
      <w:r>
        <w:rPr>
          <w:rFonts w:ascii="等线" w:hAnsi="等线" w:eastAsia="等线"/>
          <w:b w:val="0"/>
          <w:sz w:val="21"/>
          <w:highlight w:val="yellow"/>
        </w:rPr>
        <w:t>[X]</w:t>
      </w:r>
      <w:r>
        <w:rPr>
          <w:rFonts w:ascii="等线" w:hAnsi="等线" w:eastAsia="等线"/>
          <w:b w:val="0"/>
          <w:sz w:val="21"/>
        </w:rPr>
        <w:t>家企业在我们的资金支持下更新了生产设备，新设备的能源利用效率较旧设备平均提升了</w:t>
      </w:r>
      <w:r>
        <w:rPr>
          <w:rFonts w:ascii="等线" w:hAnsi="等线" w:eastAsia="等线"/>
          <w:b w:val="0"/>
          <w:sz w:val="21"/>
          <w:highlight w:val="yellow"/>
        </w:rPr>
        <w:t>[X]</w:t>
      </w:r>
      <w:r>
        <w:rPr>
          <w:rFonts w:ascii="等线" w:hAnsi="等线" w:eastAsia="等线"/>
          <w:b w:val="0"/>
          <w:sz w:val="21"/>
        </w:rPr>
        <w:t>%，每年减少二氧化碳排放总量约</w:t>
      </w:r>
      <w:r>
        <w:rPr>
          <w:rFonts w:ascii="等线" w:hAnsi="等线" w:eastAsia="等线"/>
          <w:b w:val="0"/>
          <w:sz w:val="21"/>
          <w:highlight w:val="yellow"/>
        </w:rPr>
        <w:t>[X]</w:t>
      </w:r>
      <w:r>
        <w:rPr>
          <w:rFonts w:ascii="等线" w:hAnsi="等线" w:eastAsia="等线"/>
          <w:b w:val="0"/>
          <w:sz w:val="21"/>
        </w:rPr>
        <w:t>吨。</w:t>
      </w:r>
    </w:p>
    <w:p>
      <w:pPr>
        <w:jc w:val="left"/>
      </w:pPr>
      <w:r>
        <w:rPr>
          <w:rFonts w:ascii="等线" w:hAnsi="等线" w:eastAsia="等线"/>
          <w:b w:val="0"/>
          <w:sz w:val="21"/>
        </w:rPr>
        <w:t>二、能源结构优化与生产能效提高</w:t>
      </w:r>
    </w:p>
    <w:p>
      <w:pPr>
        <w:jc w:val="left"/>
      </w:pPr>
      <w:r>
        <w:rPr>
          <w:rFonts w:ascii="等线" w:hAnsi="等线" w:eastAsia="等线"/>
          <w:b w:val="0"/>
          <w:sz w:val="21"/>
        </w:rPr>
        <w:t>（一）能源结构优化本银行积极引导企业优化能源结构，大力支持可再生能源项目。在能源领域的贷款中，可再生能源项目贷款占比逐年提高，目前已达到</w:t>
      </w:r>
      <w:r>
        <w:rPr>
          <w:rFonts w:ascii="等线" w:hAnsi="等线" w:eastAsia="等线"/>
          <w:b w:val="0"/>
          <w:sz w:val="21"/>
          <w:highlight w:val="yellow"/>
        </w:rPr>
        <w:t>[X]</w:t>
      </w:r>
      <w:r>
        <w:rPr>
          <w:rFonts w:ascii="等线" w:hAnsi="等线" w:eastAsia="等线"/>
          <w:b w:val="0"/>
          <w:sz w:val="21"/>
        </w:rPr>
        <w:t>%。其中，对太阳能项目的贷款余额为</w:t>
      </w:r>
      <w:r>
        <w:rPr>
          <w:rFonts w:ascii="等线" w:hAnsi="等线" w:eastAsia="等线"/>
          <w:b w:val="0"/>
          <w:sz w:val="21"/>
          <w:highlight w:val="yellow"/>
        </w:rPr>
        <w:t>[X]</w:t>
      </w:r>
      <w:r>
        <w:rPr>
          <w:rFonts w:ascii="等线" w:hAnsi="等线" w:eastAsia="等线"/>
          <w:b w:val="0"/>
          <w:sz w:val="21"/>
        </w:rPr>
        <w:t>美元，对风能项目的贷款余额为</w:t>
      </w:r>
      <w:r>
        <w:rPr>
          <w:rFonts w:ascii="等线" w:hAnsi="等线" w:eastAsia="等线"/>
          <w:b w:val="0"/>
          <w:sz w:val="21"/>
          <w:highlight w:val="yellow"/>
        </w:rPr>
        <w:t>[X]</w:t>
      </w:r>
      <w:r>
        <w:rPr>
          <w:rFonts w:ascii="等线" w:hAnsi="等线" w:eastAsia="等线"/>
          <w:b w:val="0"/>
          <w:sz w:val="21"/>
        </w:rPr>
        <w:t>美元。这些贷款推动了</w:t>
      </w:r>
      <w:r>
        <w:rPr>
          <w:rFonts w:ascii="等线" w:hAnsi="等线" w:eastAsia="等线"/>
          <w:b w:val="0"/>
          <w:sz w:val="21"/>
          <w:highlight w:val="yellow"/>
        </w:rPr>
        <w:t>[X]</w:t>
      </w:r>
      <w:r>
        <w:rPr>
          <w:rFonts w:ascii="等线" w:hAnsi="等线" w:eastAsia="等线"/>
          <w:b w:val="0"/>
          <w:sz w:val="21"/>
        </w:rPr>
        <w:t>兆瓦的太阳能电站和</w:t>
      </w:r>
      <w:r>
        <w:rPr>
          <w:rFonts w:ascii="等线" w:hAnsi="等线" w:eastAsia="等线"/>
          <w:b w:val="0"/>
          <w:sz w:val="21"/>
          <w:highlight w:val="yellow"/>
        </w:rPr>
        <w:t>[X]</w:t>
      </w:r>
      <w:r>
        <w:rPr>
          <w:rFonts w:ascii="等线" w:hAnsi="等线" w:eastAsia="等线"/>
          <w:b w:val="0"/>
          <w:sz w:val="21"/>
        </w:rPr>
        <w:t>兆瓦的风力发电场的建设，每年可产生清洁电力约</w:t>
      </w:r>
      <w:r>
        <w:rPr>
          <w:rFonts w:ascii="等线" w:hAnsi="等线" w:eastAsia="等线"/>
          <w:b w:val="0"/>
          <w:sz w:val="21"/>
          <w:highlight w:val="yellow"/>
        </w:rPr>
        <w:t>[X]</w:t>
      </w:r>
      <w:r>
        <w:rPr>
          <w:rFonts w:ascii="等线" w:hAnsi="等线" w:eastAsia="等线"/>
          <w:b w:val="0"/>
          <w:sz w:val="21"/>
        </w:rPr>
        <w:t>度，相当于减少标准煤消耗</w:t>
      </w:r>
      <w:r>
        <w:rPr>
          <w:rFonts w:ascii="等线" w:hAnsi="等线" w:eastAsia="等线"/>
          <w:b w:val="0"/>
          <w:sz w:val="21"/>
          <w:highlight w:val="yellow"/>
        </w:rPr>
        <w:t>[X]</w:t>
      </w:r>
      <w:r>
        <w:rPr>
          <w:rFonts w:ascii="等线" w:hAnsi="等线" w:eastAsia="等线"/>
          <w:b w:val="0"/>
          <w:sz w:val="21"/>
        </w:rPr>
        <w:t>吨，减少二氧化碳排放</w:t>
      </w:r>
      <w:r>
        <w:rPr>
          <w:rFonts w:ascii="等线" w:hAnsi="等线" w:eastAsia="等线"/>
          <w:b w:val="0"/>
          <w:sz w:val="21"/>
          <w:highlight w:val="yellow"/>
        </w:rPr>
        <w:t>[X]</w:t>
      </w:r>
      <w:r>
        <w:rPr>
          <w:rFonts w:ascii="等线" w:hAnsi="等线" w:eastAsia="等线"/>
          <w:b w:val="0"/>
          <w:sz w:val="21"/>
        </w:rPr>
        <w:t>吨。</w:t>
      </w:r>
    </w:p>
    <w:p>
      <w:pPr>
        <w:jc w:val="left"/>
      </w:pPr>
      <w:r>
        <w:rPr>
          <w:rFonts w:ascii="等线" w:hAnsi="等线" w:eastAsia="等线"/>
          <w:b w:val="0"/>
          <w:sz w:val="21"/>
        </w:rPr>
        <w:t>（二）生产能效提高我们为企业提供能效提升的金融解决方案，如能效贷款。通过这些措施，企业整体生产能效得到显著提升。以我们重点支持的</w:t>
      </w:r>
      <w:r>
        <w:rPr>
          <w:rFonts w:ascii="等线" w:hAnsi="等线" w:eastAsia="等线"/>
          <w:b w:val="0"/>
          <w:sz w:val="21"/>
          <w:highlight w:val="yellow"/>
        </w:rPr>
        <w:t>[X]</w:t>
      </w:r>
      <w:r>
        <w:rPr>
          <w:rFonts w:ascii="等线" w:hAnsi="等线" w:eastAsia="等线"/>
          <w:b w:val="0"/>
          <w:sz w:val="21"/>
        </w:rPr>
        <w:t>个行业为例，这些行业内企业的平均能源生产率（单位能源投入的产出值）在过去</w:t>
      </w:r>
      <w:r>
        <w:rPr>
          <w:rFonts w:ascii="等线" w:hAnsi="等线" w:eastAsia="等线"/>
          <w:b w:val="0"/>
          <w:sz w:val="21"/>
          <w:highlight w:val="yellow"/>
        </w:rPr>
        <w:t>[X]</w:t>
      </w:r>
      <w:r>
        <w:rPr>
          <w:rFonts w:ascii="等线" w:hAnsi="等线" w:eastAsia="等线"/>
          <w:b w:val="0"/>
          <w:sz w:val="21"/>
        </w:rPr>
        <w:t>年提高了</w:t>
      </w:r>
      <w:r>
        <w:rPr>
          <w:rFonts w:ascii="等线" w:hAnsi="等线" w:eastAsia="等线"/>
          <w:b w:val="0"/>
          <w:sz w:val="21"/>
          <w:highlight w:val="yellow"/>
        </w:rPr>
        <w:t>[X]</w:t>
      </w:r>
      <w:r>
        <w:rPr>
          <w:rFonts w:ascii="等线" w:hAnsi="等线" w:eastAsia="等线"/>
          <w:b w:val="0"/>
          <w:sz w:val="21"/>
        </w:rPr>
        <w:t>美元/焦耳。</w:t>
      </w:r>
    </w:p>
    <w:p>
      <w:pPr>
        <w:jc w:val="left"/>
      </w:pPr>
      <w:r>
        <w:rPr>
          <w:rFonts w:ascii="等线" w:hAnsi="等线" w:eastAsia="等线"/>
          <w:b w:val="0"/>
          <w:sz w:val="21"/>
        </w:rPr>
        <w:t>三、绿色产品与服务的研发和提供</w:t>
      </w:r>
    </w:p>
    <w:p>
      <w:pPr>
        <w:jc w:val="left"/>
      </w:pPr>
      <w:r>
        <w:rPr>
          <w:rFonts w:ascii="等线" w:hAnsi="等线" w:eastAsia="等线"/>
          <w:b w:val="0"/>
          <w:sz w:val="21"/>
        </w:rPr>
        <w:t>（一）绿色金融产品1. 绿色债券发行本银行积极参与绿色债券市场，发行了多期绿色债券。截至目前，已累计发行绿色债券总额达</w:t>
      </w:r>
      <w:r>
        <w:rPr>
          <w:rFonts w:ascii="等线" w:hAnsi="等线" w:eastAsia="等线"/>
          <w:b w:val="0"/>
          <w:sz w:val="21"/>
          <w:highlight w:val="yellow"/>
        </w:rPr>
        <w:t>[X]</w:t>
      </w:r>
      <w:r>
        <w:rPr>
          <w:rFonts w:ascii="等线" w:hAnsi="等线" w:eastAsia="等线"/>
          <w:b w:val="0"/>
          <w:sz w:val="21"/>
        </w:rPr>
        <w:t>美元，这些资金主要投向了绿色交通、清洁能源、绿色建筑等领域。例如，投入到绿色交通领域的资金约</w:t>
      </w:r>
      <w:r>
        <w:rPr>
          <w:rFonts w:ascii="等线" w:hAnsi="等线" w:eastAsia="等线"/>
          <w:b w:val="0"/>
          <w:sz w:val="21"/>
          <w:highlight w:val="yellow"/>
        </w:rPr>
        <w:t>[X]</w:t>
      </w:r>
      <w:r>
        <w:rPr>
          <w:rFonts w:ascii="等线" w:hAnsi="等线" w:eastAsia="等线"/>
          <w:b w:val="0"/>
          <w:sz w:val="21"/>
        </w:rPr>
        <w:t>美元，助力建设了</w:t>
      </w:r>
      <w:r>
        <w:rPr>
          <w:rFonts w:ascii="等线" w:hAnsi="等线" w:eastAsia="等线"/>
          <w:b w:val="0"/>
          <w:sz w:val="21"/>
          <w:highlight w:val="yellow"/>
        </w:rPr>
        <w:t>[X]</w:t>
      </w:r>
      <w:r>
        <w:rPr>
          <w:rFonts w:ascii="等线" w:hAnsi="等线" w:eastAsia="等线"/>
          <w:b w:val="0"/>
          <w:sz w:val="21"/>
        </w:rPr>
        <w:t>公里的城市轨道交通线路，减少了大量的交通碳排放。2. 绿色信贷我们的绿色信贷业务规模不断扩大，绿色信贷余额达到</w:t>
      </w:r>
      <w:r>
        <w:rPr>
          <w:rFonts w:ascii="等线" w:hAnsi="等线" w:eastAsia="等线"/>
          <w:b w:val="0"/>
          <w:sz w:val="21"/>
          <w:highlight w:val="yellow"/>
        </w:rPr>
        <w:t>[X]</w:t>
      </w:r>
      <w:r>
        <w:rPr>
          <w:rFonts w:ascii="等线" w:hAnsi="等线" w:eastAsia="等线"/>
          <w:b w:val="0"/>
          <w:sz w:val="21"/>
        </w:rPr>
        <w:t>美元。其中，投向环保产业的信贷占比为</w:t>
      </w:r>
      <w:r>
        <w:rPr>
          <w:rFonts w:ascii="等线" w:hAnsi="等线" w:eastAsia="等线"/>
          <w:b w:val="0"/>
          <w:sz w:val="21"/>
          <w:highlight w:val="yellow"/>
        </w:rPr>
        <w:t>[X]</w:t>
      </w:r>
      <w:r>
        <w:rPr>
          <w:rFonts w:ascii="等线" w:hAnsi="等线" w:eastAsia="等线"/>
          <w:b w:val="0"/>
          <w:sz w:val="21"/>
        </w:rPr>
        <w:t>%，投向资源循环利用产业的信贷占比为</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（二）绿色服务为企业提供环境风险管理咨询服务，帮助</w:t>
      </w:r>
      <w:r>
        <w:rPr>
          <w:rFonts w:ascii="等线" w:hAnsi="等线" w:eastAsia="等线"/>
          <w:b w:val="0"/>
          <w:sz w:val="21"/>
          <w:highlight w:val="yellow"/>
        </w:rPr>
        <w:t>[X]</w:t>
      </w:r>
      <w:r>
        <w:rPr>
          <w:rFonts w:ascii="等线" w:hAnsi="等线" w:eastAsia="等线"/>
          <w:b w:val="0"/>
          <w:sz w:val="21"/>
        </w:rPr>
        <w:t>家企业建立了完善的环境风险评估体系。同时，我们还开展绿色金融培训服务，累计培训企业管理人员和金融从业人员</w:t>
      </w:r>
      <w:r>
        <w:rPr>
          <w:rFonts w:ascii="等线" w:hAnsi="等线" w:eastAsia="等线"/>
          <w:b w:val="0"/>
          <w:sz w:val="21"/>
          <w:highlight w:val="yellow"/>
        </w:rPr>
        <w:t>[X]</w:t>
      </w:r>
      <w:r>
        <w:rPr>
          <w:rFonts w:ascii="等线" w:hAnsi="等线" w:eastAsia="等线"/>
          <w:b w:val="0"/>
          <w:sz w:val="21"/>
        </w:rPr>
        <w:t>人次，提高了整个市场对绿色金融和低碳发展的认知和操作能力。</w:t>
      </w:r>
    </w:p>
    <w:p>
      <w:pPr>
        <w:jc w:val="left"/>
      </w:pPr>
      <w:r>
        <w:rPr>
          <w:rFonts w:ascii="等线" w:hAnsi="等线" w:eastAsia="等线"/>
          <w:b w:val="0"/>
          <w:sz w:val="21"/>
        </w:rPr>
        <w:t>四、管理改进与强化</w:t>
      </w:r>
    </w:p>
    <w:p>
      <w:pPr>
        <w:jc w:val="left"/>
      </w:pPr>
      <w:r>
        <w:rPr>
          <w:rFonts w:ascii="等线" w:hAnsi="等线" w:eastAsia="等线"/>
          <w:b w:val="0"/>
          <w:sz w:val="21"/>
        </w:rPr>
        <w:t>（一）内部管理本银行建立了完善的绿色金融管理体系，设立了专门的绿色金融部门，配备了</w:t>
      </w:r>
      <w:r>
        <w:rPr>
          <w:rFonts w:ascii="等线" w:hAnsi="等线" w:eastAsia="等线"/>
          <w:b w:val="0"/>
          <w:sz w:val="21"/>
          <w:highlight w:val="yellow"/>
        </w:rPr>
        <w:t>[X]</w:t>
      </w:r>
      <w:r>
        <w:rPr>
          <w:rFonts w:ascii="等线" w:hAnsi="等线" w:eastAsia="等线"/>
          <w:b w:val="0"/>
          <w:sz w:val="21"/>
        </w:rPr>
        <w:t>名专业人员。在内部审批流程中，将环境和气候风险纳入考量因素，对不符合绿色低碳要求的项目进行严格限制。</w:t>
      </w:r>
    </w:p>
    <w:p>
      <w:pPr>
        <w:jc w:val="left"/>
      </w:pPr>
      <w:r>
        <w:rPr>
          <w:rFonts w:ascii="等线" w:hAnsi="等线" w:eastAsia="等线"/>
          <w:b w:val="0"/>
          <w:sz w:val="21"/>
        </w:rPr>
        <w:t>（二）外部合作管理积极与国际金融机构合作，参与了</w:t>
      </w:r>
      <w:r>
        <w:rPr>
          <w:rFonts w:ascii="等线" w:hAnsi="等线" w:eastAsia="等线"/>
          <w:b w:val="0"/>
          <w:sz w:val="21"/>
          <w:highlight w:val="yellow"/>
        </w:rPr>
        <w:t>[X]</w:t>
      </w:r>
      <w:r>
        <w:rPr>
          <w:rFonts w:ascii="等线" w:hAnsi="等线" w:eastAsia="等线"/>
          <w:b w:val="0"/>
          <w:sz w:val="21"/>
        </w:rPr>
        <w:t>个国际绿色金融合作项目。通过这些合作，引进了国际先进的绿色金融理念和技术，推动了国内绿色低碳发展与国际标准的接轨。同时，我们与</w:t>
      </w:r>
      <w:r>
        <w:rPr>
          <w:rFonts w:ascii="等线" w:hAnsi="等线" w:eastAsia="等线"/>
          <w:b w:val="0"/>
          <w:sz w:val="21"/>
          <w:highlight w:val="yellow"/>
        </w:rPr>
        <w:t>[X]</w:t>
      </w:r>
      <w:r>
        <w:rPr>
          <w:rFonts w:ascii="等线" w:hAnsi="等线" w:eastAsia="等线"/>
          <w:b w:val="0"/>
          <w:sz w:val="21"/>
        </w:rPr>
        <w:t>家国内非金融企业建立了绿色发展伙伴关系，共同探索绿色低碳发展的新模式。</w:t>
      </w:r>
    </w:p>
    <w:p>
      <w:pPr>
        <w:pStyle w:val="Heading3"/>
      </w:pPr>
      <w:r>
        <w:rPr>
          <w:rFonts w:ascii="等线" w:hAnsi="等线" w:eastAsia="等线"/>
          <w:color w:val="000000"/>
          <w:sz w:val="28"/>
        </w:rPr>
        <w:t>治理</w:t>
      </w:r>
    </w:p>
    <w:p>
      <w:pPr>
        <w:jc w:val="left"/>
      </w:pPr>
      <w:r>
        <w:rPr>
          <w:rFonts w:ascii="等线" w:hAnsi="等线" w:eastAsia="等线"/>
          <w:b w:val="0"/>
          <w:sz w:val="21"/>
        </w:rPr>
        <w:t>一、负责监督气候相关风险和机遇的治理机构（以董事会为例）</w:t>
      </w:r>
    </w:p>
    <w:p>
      <w:pPr>
        <w:jc w:val="left"/>
      </w:pPr>
      <w:r>
        <w:rPr>
          <w:rFonts w:ascii="等线" w:hAnsi="等线" w:eastAsia="等线"/>
          <w:b w:val="0"/>
          <w:sz w:val="21"/>
        </w:rPr>
        <w:t>1. 技能和胜任能力的厘定</w:t>
      </w:r>
    </w:p>
    <w:p>
      <w:pPr>
        <w:jc w:val="left"/>
      </w:pPr>
      <w:r>
        <w:rPr>
          <w:rFonts w:ascii="等线" w:hAnsi="等线" w:eastAsia="等线"/>
          <w:b w:val="0"/>
          <w:sz w:val="21"/>
        </w:rPr>
        <w:t>2. 董事会通过定期的自我评估来厘定其是否有适当的技能和胜任能力来监督应对气候相关风险和机遇的策略。评估内容包括成员的专业背景、对气候变化相关知识（如温室气体排放、气候政策法规等）的了解程度。例如，董事会成员中具有环境科学、可持续发展等专业背景的成员比例，目前占比</w:t>
      </w:r>
      <w:r>
        <w:rPr>
          <w:rFonts w:ascii="等线" w:hAnsi="等线" w:eastAsia="等线"/>
          <w:b w:val="0"/>
          <w:sz w:val="21"/>
          <w:highlight w:val="yellow"/>
        </w:rPr>
        <w:t>[X]</w:t>
      </w:r>
      <w:r>
        <w:rPr>
          <w:rFonts w:ascii="等线" w:hAnsi="等线" w:eastAsia="等线"/>
          <w:b w:val="0"/>
          <w:sz w:val="21"/>
        </w:rPr>
        <w:t>%。并且，董事会定期参加外部机构组织的气候变化相关培训课程，每年至少</w:t>
      </w:r>
      <w:r>
        <w:rPr>
          <w:rFonts w:ascii="等线" w:hAnsi="等线" w:eastAsia="等线"/>
          <w:b w:val="0"/>
          <w:sz w:val="21"/>
          <w:highlight w:val="yellow"/>
        </w:rPr>
        <w:t>[X]</w:t>
      </w:r>
      <w:r>
        <w:rPr>
          <w:rFonts w:ascii="等线" w:hAnsi="等线" w:eastAsia="等线"/>
          <w:b w:val="0"/>
          <w:sz w:val="21"/>
        </w:rPr>
        <w:t>次，以确保其能够跟上气候变化领域的最新发展动态，从而具备足够的能力监督相关策略。</w:t>
      </w:r>
    </w:p>
    <w:p>
      <w:pPr>
        <w:jc w:val="left"/>
      </w:pPr>
      <w:r>
        <w:rPr>
          <w:rFonts w:ascii="等线" w:hAnsi="等线" w:eastAsia="等线"/>
          <w:b w:val="0"/>
          <w:sz w:val="21"/>
        </w:rPr>
        <w:t>3. 获悉气候相关风险和机遇的方式和频率</w:t>
      </w:r>
    </w:p>
    <w:p>
      <w:pPr>
        <w:jc w:val="left"/>
      </w:pPr>
      <w:r>
        <w:rPr>
          <w:rFonts w:ascii="等线" w:hAnsi="等线" w:eastAsia="等线"/>
          <w:b w:val="0"/>
          <w:sz w:val="21"/>
        </w:rPr>
        <w:t>4. 董事会通过多种方式获悉气候相关风险和机遇。内部方面，每月接收由专门的可持续发展部门提交的关于银行运营中的气候相关数据报告，包括本行的碳足迹（以二氧化碳当量（CO₂e）为单位，当前本行的运营碳足迹为</w:t>
      </w:r>
      <w:r>
        <w:rPr>
          <w:rFonts w:ascii="等线" w:hAnsi="等线" w:eastAsia="等线"/>
          <w:b w:val="0"/>
          <w:sz w:val="21"/>
          <w:highlight w:val="yellow"/>
        </w:rPr>
        <w:t>[X]</w:t>
      </w:r>
      <w:r>
        <w:rPr>
          <w:rFonts w:ascii="等线" w:hAnsi="等线" w:eastAsia="等线"/>
          <w:b w:val="0"/>
          <w:sz w:val="21"/>
        </w:rPr>
        <w:t>吨CO₂e/年）、绿色信贷业务的发展情况（绿色信贷余额占总信贷余额的比例为</w:t>
      </w:r>
      <w:r>
        <w:rPr>
          <w:rFonts w:ascii="等线" w:hAnsi="等线" w:eastAsia="等线"/>
          <w:b w:val="0"/>
          <w:sz w:val="21"/>
          <w:highlight w:val="yellow"/>
        </w:rPr>
        <w:t>[X]</w:t>
      </w:r>
      <w:r>
        <w:rPr>
          <w:rFonts w:ascii="等线" w:hAnsi="等线" w:eastAsia="等线"/>
          <w:b w:val="0"/>
          <w:sz w:val="21"/>
        </w:rPr>
        <w:t>%）等。外部方面，每季度参加行业协会组织的气候变化研讨会，及时了解同行业在应对气候变化方面的最佳实践以及全球气候政策的新趋势。</w:t>
      </w:r>
    </w:p>
    <w:p>
      <w:pPr>
        <w:jc w:val="left"/>
      </w:pPr>
      <w:r>
        <w:rPr>
          <w:rFonts w:ascii="等线" w:hAnsi="等线" w:eastAsia="等线"/>
          <w:b w:val="0"/>
          <w:sz w:val="21"/>
        </w:rPr>
        <w:t>5. 在监督中的考虑</w:t>
      </w:r>
    </w:p>
    <w:p>
      <w:pPr>
        <w:jc w:val="left"/>
      </w:pPr>
      <w:r>
        <w:rPr>
          <w:rFonts w:ascii="等线" w:hAnsi="等线" w:eastAsia="等线"/>
          <w:b w:val="0"/>
          <w:sz w:val="21"/>
        </w:rPr>
        <w:t>6. 在监督发行人的策略、重大交易决策和风险管理程序及相关政策的过程中，董事会充分考虑气候相关风险和机遇。例如，在重大项目融资决策时，会对项目的碳排放强度（以每单位产出的二氧化碳排放量衡量，要求新项目的碳排放强度不高于行业平均水平的</w:t>
      </w:r>
      <w:r>
        <w:rPr>
          <w:rFonts w:ascii="等线" w:hAnsi="等线" w:eastAsia="等线"/>
          <w:b w:val="0"/>
          <w:sz w:val="21"/>
          <w:highlight w:val="yellow"/>
        </w:rPr>
        <w:t>[X]</w:t>
      </w:r>
      <w:r>
        <w:rPr>
          <w:rFonts w:ascii="等线" w:hAnsi="等线" w:eastAsia="等线"/>
          <w:b w:val="0"/>
          <w:sz w:val="21"/>
        </w:rPr>
        <w:t>%）进行评估。对于风险管理程序，会考虑气候风险可能导致的信用风险，如对高碳排企业的贷款违约风险评估。在权衡评估方面，如果一个项目虽然短期有较高的经济回报但长期面临较大的气候相关风险（如位于海平面上升风险较高的沿海地区的大型工业项目），董事会会权衡其长期风险与短期收益，可能会拒绝为该项目提供融资。</w:t>
      </w:r>
    </w:p>
    <w:p>
      <w:pPr>
        <w:jc w:val="left"/>
      </w:pPr>
      <w:r>
        <w:rPr>
          <w:rFonts w:ascii="等线" w:hAnsi="等线" w:eastAsia="等线"/>
          <w:b w:val="0"/>
          <w:sz w:val="21"/>
        </w:rPr>
        <w:t>7. 目标制定与达标进度监督及薪酬政策关联</w:t>
      </w:r>
    </w:p>
    <w:p>
      <w:pPr>
        <w:jc w:val="left"/>
      </w:pPr>
      <w:r>
        <w:rPr>
          <w:rFonts w:ascii="等线" w:hAnsi="等线" w:eastAsia="等线"/>
          <w:b w:val="0"/>
          <w:sz w:val="21"/>
        </w:rPr>
        <w:t>8. 董事会负责监督气候相关风险和机遇的目标制定，如设定本行在</w:t>
      </w:r>
      <w:r>
        <w:rPr>
          <w:rFonts w:ascii="等线" w:hAnsi="等线" w:eastAsia="等线"/>
          <w:b w:val="0"/>
          <w:sz w:val="21"/>
          <w:highlight w:val="yellow"/>
        </w:rPr>
        <w:t>[具体年份]</w:t>
      </w:r>
      <w:r>
        <w:rPr>
          <w:rFonts w:ascii="等线" w:hAnsi="等线" w:eastAsia="等线"/>
          <w:b w:val="0"/>
          <w:sz w:val="21"/>
        </w:rPr>
        <w:t>之前将自身运营的碳排放强度降低</w:t>
      </w:r>
      <w:r>
        <w:rPr>
          <w:rFonts w:ascii="等线" w:hAnsi="等线" w:eastAsia="等线"/>
          <w:b w:val="0"/>
          <w:sz w:val="21"/>
          <w:highlight w:val="yellow"/>
        </w:rPr>
        <w:t>[X]</w:t>
      </w:r>
      <w:r>
        <w:rPr>
          <w:rFonts w:ascii="等线" w:hAnsi="等线" w:eastAsia="等线"/>
          <w:b w:val="0"/>
          <w:sz w:val="21"/>
        </w:rPr>
        <w:t>%的目标。通过每半年一次的内部审计来监察达标进度。在薪酬政策方面，将气候相关绩效指标纳入其中。例如，高级管理人员的年度奖金中有</w:t>
      </w:r>
      <w:r>
        <w:rPr>
          <w:rFonts w:ascii="等线" w:hAnsi="等线" w:eastAsia="等线"/>
          <w:b w:val="0"/>
          <w:sz w:val="21"/>
          <w:highlight w:val="yellow"/>
        </w:rPr>
        <w:t>[X]</w:t>
      </w:r>
      <w:r>
        <w:rPr>
          <w:rFonts w:ascii="等线" w:hAnsi="等线" w:eastAsia="等线"/>
          <w:b w:val="0"/>
          <w:sz w:val="21"/>
        </w:rPr>
        <w:t>%与本行绿色信贷业务的增长幅度挂钩，如果绿色信贷业务增长未达到预定目标，奖金将相应扣减。</w:t>
      </w:r>
    </w:p>
    <w:p>
      <w:pPr>
        <w:jc w:val="left"/>
      </w:pPr>
      <w:r>
        <w:rPr>
          <w:rFonts w:ascii="等线" w:hAnsi="等线" w:eastAsia="等线"/>
          <w:b w:val="0"/>
          <w:sz w:val="21"/>
        </w:rPr>
        <w:t>二、管理层在管治流程中的角色</w:t>
      </w:r>
    </w:p>
    <w:p>
      <w:pPr>
        <w:jc w:val="left"/>
      </w:pPr>
      <w:r>
        <w:rPr>
          <w:rFonts w:ascii="等线" w:hAnsi="等线" w:eastAsia="等线"/>
          <w:b w:val="0"/>
          <w:sz w:val="21"/>
        </w:rPr>
        <w:t>1. 特定人员或委员会及监督</w:t>
      </w:r>
    </w:p>
    <w:p>
      <w:pPr>
        <w:jc w:val="left"/>
      </w:pPr>
      <w:r>
        <w:rPr>
          <w:rFonts w:ascii="等线" w:hAnsi="等线" w:eastAsia="等线"/>
          <w:b w:val="0"/>
          <w:sz w:val="21"/>
        </w:rPr>
        <w:t>2. 管理层将气候相关风险和机遇的管理角色委托给可持续发展委员会。该委员会由来自不同部门（如风险管理部门、信贷部门、运营部门等）的高级管理人员组成。董事会通过每季度审查委员会的工作报告、出席委员会的重要会议（每年至少</w:t>
      </w:r>
      <w:r>
        <w:rPr>
          <w:rFonts w:ascii="等线" w:hAnsi="等线" w:eastAsia="等线"/>
          <w:b w:val="0"/>
          <w:sz w:val="21"/>
          <w:highlight w:val="yellow"/>
        </w:rPr>
        <w:t>[X]</w:t>
      </w:r>
      <w:r>
        <w:rPr>
          <w:rFonts w:ascii="等线" w:hAnsi="等线" w:eastAsia="等线"/>
          <w:b w:val="0"/>
          <w:sz w:val="21"/>
        </w:rPr>
        <w:t>次）来对其进行监督。</w:t>
      </w:r>
    </w:p>
    <w:p>
      <w:pPr>
        <w:jc w:val="left"/>
      </w:pPr>
      <w:r>
        <w:rPr>
          <w:rFonts w:ascii="等线" w:hAnsi="等线" w:eastAsia="等线"/>
          <w:b w:val="0"/>
          <w:sz w:val="21"/>
        </w:rPr>
        <w:t>3. 监控措施及程序与内部职能部门的整合</w:t>
      </w:r>
    </w:p>
    <w:p>
      <w:pPr>
        <w:jc w:val="left"/>
      </w:pPr>
      <w:r>
        <w:rPr>
          <w:rFonts w:ascii="等线" w:hAnsi="等线" w:eastAsia="等线"/>
          <w:b w:val="0"/>
          <w:sz w:val="21"/>
        </w:rPr>
        <w:t>4. 管理层使用多种监控措施及程序协助监督气候相关风险和机遇。例如，建立了专门的气候风险监测模型，该模型能够实时监测本行投资组合中的企业碳排放情况（以CO₂e为单位）以及面临的物理气候风险（如洪水、飓风风险等）。在与内部职能部门整合方面，风险管理部门将气候风险监测结果纳入整体风险评估体系，信贷部门根据气候风险评估结果调整对企业的信贷政策，运营部门依据相关数据优化本行自身的能源消耗管理（本行办公场所的能源消耗强度目标为在</w:t>
      </w:r>
      <w:r>
        <w:rPr>
          <w:rFonts w:ascii="等线" w:hAnsi="等线" w:eastAsia="等线"/>
          <w:b w:val="0"/>
          <w:sz w:val="21"/>
          <w:highlight w:val="yellow"/>
        </w:rPr>
        <w:t>[具体年份]</w:t>
      </w:r>
      <w:r>
        <w:rPr>
          <w:rFonts w:ascii="等线" w:hAnsi="等线" w:eastAsia="等线"/>
          <w:b w:val="0"/>
          <w:sz w:val="21"/>
        </w:rPr>
        <w:t>前降低</w:t>
      </w:r>
      <w:r>
        <w:rPr>
          <w:rFonts w:ascii="等线" w:hAnsi="等线" w:eastAsia="等线"/>
          <w:b w:val="0"/>
          <w:sz w:val="21"/>
          <w:highlight w:val="yellow"/>
        </w:rPr>
        <w:t>[X]</w:t>
      </w:r>
      <w:r>
        <w:rPr>
          <w:rFonts w:ascii="等线" w:hAnsi="等线" w:eastAsia="等线"/>
          <w:b w:val="0"/>
          <w:sz w:val="21"/>
        </w:rPr>
        <w:t>%，以每平方米办公面积的能耗量为衡量单位）。</w:t>
      </w:r>
    </w:p>
    <w:p>
      <w:pPr>
        <w:pStyle w:val="Heading3"/>
      </w:pPr>
      <w:r>
        <w:rPr>
          <w:rFonts w:ascii="等线" w:hAnsi="等线" w:eastAsia="等线"/>
          <w:color w:val="000000"/>
          <w:sz w:val="28"/>
        </w:rPr>
        <w:t>战略</w:t>
      </w:r>
    </w:p>
    <w:p>
      <w:pPr>
        <w:jc w:val="left"/>
      </w:pPr>
      <w:r>
        <w:rPr>
          <w:rFonts w:ascii="等线" w:hAnsi="等线" w:eastAsia="等线"/>
          <w:b w:val="0"/>
          <w:sz w:val="21"/>
        </w:rPr>
        <w:t>大型国有银行业企业ESG报告 - 环境 - 应对气候变化 - 战略</w:t>
      </w:r>
    </w:p>
    <w:p>
      <w:pPr>
        <w:jc w:val="left"/>
      </w:pPr>
      <w:r>
        <w:rPr>
          <w:rFonts w:ascii="等线" w:hAnsi="等线" w:eastAsia="等线"/>
          <w:b w:val="0"/>
          <w:sz w:val="21"/>
        </w:rPr>
        <w:t>一、气候相关风险和机遇对现金流量、融资渠道和资本成本的影响</w:t>
      </w:r>
    </w:p>
    <w:p>
      <w:pPr>
        <w:jc w:val="left"/>
      </w:pPr>
      <w:r>
        <w:rPr>
          <w:rFonts w:ascii="等线" w:hAnsi="等线" w:eastAsia="等线"/>
          <w:b w:val="0"/>
          <w:sz w:val="21"/>
        </w:rPr>
        <w:t>1. 风险和机遇描述</w:t>
      </w:r>
    </w:p>
    <w:p>
      <w:pPr>
        <w:jc w:val="left"/>
      </w:pPr>
      <w:r>
        <w:rPr>
          <w:rFonts w:ascii="等线" w:hAnsi="等线" w:eastAsia="等线"/>
          <w:b w:val="0"/>
          <w:sz w:val="21"/>
        </w:rPr>
        <w:t>2. 气候相关风险：极端天气事件（如洪水、飓风）频率增加可能导致银行在受灾地区的抵押物价值下降，影响贷款回收，进而影响现金流量。从融资渠道看，国际投资者对环境风险关注度提高，若银行环境风险管理不善，可能面临融资成本上升风险。机遇方面，对可再生能源项目的融资需求增长，银行可通过参与此类项目融资获得新的业务增长点，增加现金流入并优化资本结构。</w:t>
      </w:r>
    </w:p>
    <w:p>
      <w:pPr>
        <w:jc w:val="left"/>
      </w:pPr>
      <w:r>
        <w:rPr>
          <w:rFonts w:ascii="等线" w:hAnsi="等线" w:eastAsia="等线"/>
          <w:b w:val="0"/>
          <w:sz w:val="21"/>
        </w:rPr>
        <w:t>3. 风险类型判定</w:t>
      </w:r>
    </w:p>
    <w:p>
      <w:pPr>
        <w:jc w:val="left"/>
      </w:pPr>
      <w:r>
        <w:rPr>
          <w:rFonts w:ascii="等线" w:hAnsi="等线" w:eastAsia="等线"/>
          <w:b w:val="0"/>
          <w:sz w:val="21"/>
        </w:rPr>
        <w:t>4. 极端天气事件导致抵押物价值下降属于气候相关物理风险。</w:t>
      </w:r>
    </w:p>
    <w:p>
      <w:pPr>
        <w:jc w:val="left"/>
      </w:pPr>
      <w:r>
        <w:rPr>
          <w:rFonts w:ascii="等线" w:hAnsi="等线" w:eastAsia="等线"/>
          <w:b w:val="0"/>
          <w:sz w:val="21"/>
        </w:rPr>
        <w:t>5. 影响的时间范围</w:t>
      </w:r>
    </w:p>
    <w:p>
      <w:pPr>
        <w:jc w:val="left"/>
      </w:pPr>
      <w:r>
        <w:rPr>
          <w:rFonts w:ascii="等线" w:hAnsi="等线" w:eastAsia="等线"/>
          <w:b w:val="0"/>
          <w:sz w:val="21"/>
        </w:rPr>
        <w:t>6. 极端天气事件对抵押物价值的影响在短期（1 - 2年）内可能开始显现，如受灾地区的房地产抵押物价值可能在灾害发生后的下一个财务年度就出现波动。可再生能源项目融资机遇在中期（3 - 5年）将逐渐成为重要的现金流量和资本结构优化因素。</w:t>
      </w:r>
    </w:p>
    <w:p>
      <w:pPr>
        <w:jc w:val="left"/>
      </w:pPr>
      <w:r>
        <w:rPr>
          <w:rFonts w:ascii="等线" w:hAnsi="等线" w:eastAsia="等线"/>
          <w:b w:val="0"/>
          <w:sz w:val="21"/>
        </w:rPr>
        <w:t>7. 短期、中期、长期的定义及与策略规划的挂钩</w:t>
      </w:r>
    </w:p>
    <w:p>
      <w:pPr>
        <w:jc w:val="left"/>
      </w:pPr>
      <w:r>
        <w:rPr>
          <w:rFonts w:ascii="等线" w:hAnsi="等线" w:eastAsia="等线"/>
          <w:b w:val="0"/>
          <w:sz w:val="21"/>
        </w:rPr>
        <w:t>8. 短期定义为1 - 2年，中期为3 - 5年，长期为5年以上。短期策略规划主要侧重于应对现有资产面临的物理风险，如调整受灾地区抵押物评估标准。中期规划则开始布局可再生能源等新兴领域的业务拓展。长期规划将全面转型为适应低碳经济的金融服务模式，与全球气候目标相契合。</w:t>
      </w:r>
    </w:p>
    <w:p>
      <w:pPr>
        <w:jc w:val="left"/>
      </w:pPr>
      <w:r>
        <w:rPr>
          <w:rFonts w:ascii="等线" w:hAnsi="等线" w:eastAsia="等线"/>
          <w:b w:val="0"/>
          <w:sz w:val="21"/>
        </w:rPr>
        <w:t>二、气候相关风险和机遇对业务模式和价值链的影响</w:t>
      </w:r>
    </w:p>
    <w:p>
      <w:pPr>
        <w:jc w:val="left"/>
      </w:pPr>
      <w:r>
        <w:rPr>
          <w:rFonts w:ascii="等线" w:hAnsi="等线" w:eastAsia="等线"/>
          <w:b w:val="0"/>
          <w:sz w:val="21"/>
        </w:rPr>
        <w:t>1. 当前和预期影响描述</w:t>
      </w:r>
    </w:p>
    <w:p>
      <w:pPr>
        <w:jc w:val="left"/>
      </w:pPr>
      <w:r>
        <w:rPr>
          <w:rFonts w:ascii="等线" w:hAnsi="等线" w:eastAsia="等线"/>
          <w:b w:val="0"/>
          <w:sz w:val="21"/>
        </w:rPr>
        <w:t>2. 当前，银行已发现部分高碳排行业客户面临转型压力，其贷款违约风险有所上升，影响银行的资产质量和财务表现。预期随着气候政策收紧，更多高碳排企业将面临成本上升，银行需要重新评估对这些企业的信贷策略。</w:t>
      </w:r>
    </w:p>
    <w:p>
      <w:pPr>
        <w:jc w:val="left"/>
      </w:pPr>
      <w:r>
        <w:rPr>
          <w:rFonts w:ascii="等线" w:hAnsi="等线" w:eastAsia="等线"/>
          <w:b w:val="0"/>
          <w:sz w:val="21"/>
        </w:rPr>
        <w:t>3. 风险和机遇集中的地方</w:t>
      </w:r>
    </w:p>
    <w:p>
      <w:pPr>
        <w:jc w:val="left"/>
      </w:pPr>
      <w:r>
        <w:rPr>
          <w:rFonts w:ascii="等线" w:hAnsi="等线" w:eastAsia="等线"/>
          <w:b w:val="0"/>
          <w:sz w:val="21"/>
        </w:rPr>
        <w:t>4. 在地理区域上，沿海地区由于海平面上升和极端天气事件风险，相关企业和抵押物面临的气候风险较高。在设施方面，依赖传统能源的大型工业设施相关的信贷业务风险集中。资产类型上，高碳排企业的固定资产抵押信贷风险较大。</w:t>
      </w:r>
    </w:p>
    <w:p>
      <w:pPr>
        <w:jc w:val="left"/>
      </w:pPr>
      <w:r>
        <w:rPr>
          <w:rFonts w:ascii="等线" w:hAnsi="等线" w:eastAsia="等线"/>
          <w:b w:val="0"/>
          <w:sz w:val="21"/>
        </w:rPr>
        <w:t>三、气候相关风险和机遇对策略和决策的影响</w:t>
      </w:r>
    </w:p>
    <w:p>
      <w:pPr>
        <w:jc w:val="left"/>
      </w:pPr>
      <w:r>
        <w:rPr>
          <w:rFonts w:ascii="等线" w:hAnsi="等线" w:eastAsia="等线"/>
          <w:b w:val="0"/>
          <w:sz w:val="21"/>
        </w:rPr>
        <w:t>1. 应对风险和机遇的策略</w:t>
      </w:r>
    </w:p>
    <w:p>
      <w:pPr>
        <w:jc w:val="left"/>
      </w:pPr>
      <w:r>
        <w:rPr>
          <w:rFonts w:ascii="等线" w:hAnsi="等线" w:eastAsia="等线"/>
          <w:b w:val="0"/>
          <w:sz w:val="21"/>
        </w:rPr>
        <w:t>2. 业务模式变动</w:t>
      </w:r>
    </w:p>
    <w:p>
      <w:pPr>
        <w:ind w:left="480"/>
        <w:jc w:val="left"/>
      </w:pPr>
      <w:r>
        <w:rPr>
          <w:rFonts w:ascii="等线" w:hAnsi="等线" w:eastAsia="等线"/>
          <w:b w:val="0"/>
          <w:sz w:val="21"/>
        </w:rPr>
        <w:t>◦ 当前已开始减少对高碳排行业的资源配置，增加对低碳和可再生能源领域的投资。预期将来会进一步优化业务结构，将更多资源投向绿色金融领域。</w:t>
      </w:r>
    </w:p>
    <w:p>
      <w:pPr>
        <w:jc w:val="left"/>
      </w:pPr>
      <w:r>
        <w:rPr>
          <w:rFonts w:ascii="等线" w:hAnsi="等线" w:eastAsia="等线"/>
          <w:b w:val="0"/>
          <w:sz w:val="21"/>
        </w:rPr>
        <w:t>3. 适应或减缓工作</w:t>
      </w:r>
    </w:p>
    <w:p>
      <w:pPr>
        <w:ind w:left="480"/>
        <w:jc w:val="left"/>
      </w:pPr>
      <w:r>
        <w:rPr>
          <w:rFonts w:ascii="等线" w:hAnsi="等线" w:eastAsia="等线"/>
          <w:b w:val="0"/>
          <w:sz w:val="21"/>
        </w:rPr>
        <w:t>◦ 直接为绿色项目提供低息贷款，间接通过与国际金融机构合作推广绿色金融标准。</w:t>
      </w:r>
    </w:p>
    <w:p>
      <w:pPr>
        <w:jc w:val="left"/>
      </w:pPr>
      <w:r>
        <w:rPr>
          <w:rFonts w:ascii="等线" w:hAnsi="等线" w:eastAsia="等线"/>
          <w:b w:val="0"/>
          <w:sz w:val="21"/>
        </w:rPr>
        <w:t>4. 转型计划</w:t>
      </w:r>
    </w:p>
    <w:p>
      <w:pPr>
        <w:ind w:left="480"/>
        <w:jc w:val="left"/>
      </w:pPr>
      <w:r>
        <w:rPr>
          <w:rFonts w:ascii="等线" w:hAnsi="等线" w:eastAsia="等线"/>
          <w:b w:val="0"/>
          <w:sz w:val="21"/>
        </w:rPr>
        <w:t>◦ 主要假设是全球向低碳经济转型的趋势不可逆转。转型计划依赖于监管政策支持、技术创新降低可再生能源成本等因素。计划到2030年，绿色信贷占比提高到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5. 目标实现计划</w:t>
      </w:r>
    </w:p>
    <w:p>
      <w:pPr>
        <w:ind w:left="480"/>
        <w:jc w:val="left"/>
      </w:pPr>
      <w:r>
        <w:rPr>
          <w:rFonts w:ascii="等线" w:hAnsi="等线" w:eastAsia="等线"/>
          <w:b w:val="0"/>
          <w:sz w:val="21"/>
        </w:rPr>
        <w:t>◦ 为实现温室气体排放目标，将对高碳排企业贷款设定更严格的环境标准，鼓励其节能减排。</w:t>
      </w:r>
    </w:p>
    <w:p>
      <w:pPr>
        <w:jc w:val="left"/>
      </w:pPr>
      <w:r>
        <w:rPr>
          <w:rFonts w:ascii="等线" w:hAnsi="等线" w:eastAsia="等线"/>
          <w:b w:val="0"/>
          <w:sz w:val="21"/>
        </w:rPr>
        <w:t>6. 资源提供计划</w:t>
      </w:r>
    </w:p>
    <w:p>
      <w:pPr>
        <w:jc w:val="left"/>
      </w:pPr>
      <w:r>
        <w:rPr>
          <w:rFonts w:ascii="等线" w:hAnsi="等线" w:eastAsia="等线"/>
          <w:b w:val="0"/>
          <w:sz w:val="21"/>
        </w:rPr>
        <w:t>7. 短期将从内部调配资金用于绿色金融人才培养和绿色项目评估体系建设。中期计划通过发行绿色债券等方式筹集资金，支持大规模的绿色项目融资。</w:t>
      </w:r>
    </w:p>
    <w:p>
      <w:pPr>
        <w:jc w:val="left"/>
      </w:pPr>
      <w:r>
        <w:rPr>
          <w:rFonts w:ascii="等线" w:hAnsi="等线" w:eastAsia="等线"/>
          <w:b w:val="0"/>
          <w:sz w:val="21"/>
        </w:rPr>
        <w:t>四、先前汇报期计划的进度及对财务的影响</w:t>
      </w:r>
    </w:p>
    <w:p>
      <w:pPr>
        <w:jc w:val="left"/>
      </w:pPr>
      <w:r>
        <w:rPr>
          <w:rFonts w:ascii="等线" w:hAnsi="等线" w:eastAsia="等线"/>
          <w:b w:val="0"/>
          <w:sz w:val="21"/>
        </w:rPr>
        <w:t>1. 进度报告</w:t>
      </w:r>
    </w:p>
    <w:p>
      <w:pPr>
        <w:jc w:val="left"/>
      </w:pPr>
      <w:r>
        <w:rPr>
          <w:rFonts w:ascii="等线" w:hAnsi="等线" w:eastAsia="等线"/>
          <w:b w:val="0"/>
          <w:sz w:val="21"/>
        </w:rPr>
        <w:t>2. 在过去的汇报期内，已按计划减少了对部分高碳排行业的贷款，绿色信贷规模增长了</w:t>
      </w:r>
      <w:r>
        <w:rPr>
          <w:rFonts w:ascii="等线" w:hAnsi="等线" w:eastAsia="等线"/>
          <w:b w:val="0"/>
          <w:sz w:val="21"/>
          <w:highlight w:val="yellow"/>
        </w:rPr>
        <w:t>[X]</w:t>
      </w:r>
      <w:r>
        <w:rPr>
          <w:rFonts w:ascii="等线" w:hAnsi="等线" w:eastAsia="等线"/>
          <w:b w:val="0"/>
          <w:sz w:val="21"/>
        </w:rPr>
        <w:t>%。财务状况方面，高碳排行业贷款占比下降，资产质量有所改善。财务表现上，绿色项目带来的收益增长了</w:t>
      </w:r>
      <w:r>
        <w:rPr>
          <w:rFonts w:ascii="等线" w:hAnsi="等线" w:eastAsia="等线"/>
          <w:b w:val="0"/>
          <w:sz w:val="21"/>
          <w:highlight w:val="yellow"/>
        </w:rPr>
        <w:t>[X]</w:t>
      </w:r>
      <w:r>
        <w:rPr>
          <w:rFonts w:ascii="等线" w:hAnsi="等线" w:eastAsia="等线"/>
          <w:b w:val="0"/>
          <w:sz w:val="21"/>
        </w:rPr>
        <w:t>元。现金流量上，绿色债券发行带来了新的资金流入。</w:t>
      </w:r>
    </w:p>
    <w:p>
      <w:pPr>
        <w:jc w:val="left"/>
      </w:pPr>
      <w:r>
        <w:rPr>
          <w:rFonts w:ascii="等线" w:hAnsi="等线" w:eastAsia="等线"/>
          <w:b w:val="0"/>
          <w:sz w:val="21"/>
        </w:rPr>
        <w:t>3. 对财务报表的影响</w:t>
      </w:r>
    </w:p>
    <w:p>
      <w:pPr>
        <w:jc w:val="left"/>
      </w:pPr>
      <w:r>
        <w:rPr>
          <w:rFonts w:ascii="等线" w:hAnsi="等线" w:eastAsia="等线"/>
          <w:b w:val="0"/>
          <w:sz w:val="21"/>
        </w:rPr>
        <w:t>4. 气候相关风险使得高碳排行业贷款的减值准备增加，影响了资产账面价值。而绿色项目的发展增加了银行的营业收入，对财务表现产生积极影响。</w:t>
      </w:r>
    </w:p>
    <w:p>
      <w:pPr>
        <w:jc w:val="left"/>
      </w:pPr>
      <w:r>
        <w:rPr>
          <w:rFonts w:ascii="等线" w:hAnsi="等线" w:eastAsia="等线"/>
          <w:b w:val="0"/>
          <w:sz w:val="21"/>
        </w:rPr>
        <w:t>五、气候相关风险和机遇对财务表现的预期影响</w:t>
      </w:r>
    </w:p>
    <w:p>
      <w:pPr>
        <w:jc w:val="left"/>
      </w:pPr>
      <w:r>
        <w:rPr>
          <w:rFonts w:ascii="等线" w:hAnsi="等线" w:eastAsia="等线"/>
          <w:b w:val="0"/>
          <w:sz w:val="21"/>
        </w:rPr>
        <w:t>1. 短期、中期、长期财务表现预期</w:t>
      </w:r>
    </w:p>
    <w:p>
      <w:pPr>
        <w:jc w:val="left"/>
      </w:pPr>
      <w:r>
        <w:rPr>
          <w:rFonts w:ascii="等线" w:hAnsi="等线" w:eastAsia="等线"/>
          <w:b w:val="0"/>
          <w:sz w:val="21"/>
        </w:rPr>
        <w:t>2. 短期，由于高碳排行业转型调整，可能面临一定的贷款减值风险，但绿色项目的初步收益将部分抵消。中期，随着绿色业务规模扩大，预计财务表现将显著提升，资本成本有望下降。长期，全面转型为绿色金融服务模式后，预计财务业绩将稳定增长，现金流量将更加可持续。</w:t>
      </w:r>
    </w:p>
    <w:p>
      <w:pPr>
        <w:jc w:val="left"/>
      </w:pPr>
      <w:r>
        <w:rPr>
          <w:rFonts w:ascii="等线" w:hAnsi="等线" w:eastAsia="等线"/>
          <w:b w:val="0"/>
          <w:sz w:val="21"/>
        </w:rPr>
        <w:t>3. 基于策略的财务业绩和现金流量变化预期</w:t>
      </w:r>
    </w:p>
    <w:p>
      <w:pPr>
        <w:jc w:val="left"/>
      </w:pPr>
      <w:r>
        <w:rPr>
          <w:rFonts w:ascii="等线" w:hAnsi="等线" w:eastAsia="等线"/>
          <w:b w:val="0"/>
          <w:sz w:val="21"/>
        </w:rPr>
        <w:t>4. 投资计划方面，加大对绿色项目投资将在中期和长期带来稳定的收益流。资金来源计划上，绿色债券等绿色金融工具将为业务转型提供稳定的资金支持，保障现金流量。</w:t>
      </w:r>
    </w:p>
    <w:p>
      <w:pPr>
        <w:jc w:val="left"/>
      </w:pPr>
      <w:r>
        <w:rPr>
          <w:rFonts w:ascii="等线" w:hAnsi="等线" w:eastAsia="等线"/>
          <w:b w:val="0"/>
          <w:sz w:val="21"/>
        </w:rPr>
        <w:t>六、气候韧性评估</w:t>
      </w:r>
    </w:p>
    <w:p>
      <w:pPr>
        <w:jc w:val="left"/>
      </w:pPr>
      <w:r>
        <w:rPr>
          <w:rFonts w:ascii="等线" w:hAnsi="等线" w:eastAsia="等线"/>
          <w:b w:val="0"/>
          <w:sz w:val="21"/>
        </w:rPr>
        <w:t>1. 截至汇报日的气候韧性评估</w:t>
      </w:r>
    </w:p>
    <w:p>
      <w:pPr>
        <w:jc w:val="left"/>
      </w:pPr>
      <w:r>
        <w:rPr>
          <w:rFonts w:ascii="等线" w:hAnsi="等线" w:eastAsia="等线"/>
          <w:b w:val="0"/>
          <w:sz w:val="21"/>
        </w:rPr>
        <w:t>2. 分析结果对策略和业务模式的影响</w:t>
      </w:r>
    </w:p>
    <w:p>
      <w:pPr>
        <w:ind w:left="480"/>
        <w:jc w:val="left"/>
      </w:pPr>
      <w:r>
        <w:rPr>
          <w:rFonts w:ascii="等线" w:hAnsi="等线" w:eastAsia="等线"/>
          <w:b w:val="0"/>
          <w:sz w:val="21"/>
        </w:rPr>
        <w:t>◦ 情景分析结果显示，银行需要加强对高碳排行业转型风险的监测，调整信贷策略。</w:t>
      </w:r>
    </w:p>
    <w:p>
      <w:pPr>
        <w:jc w:val="left"/>
      </w:pPr>
      <w:r>
        <w:rPr>
          <w:rFonts w:ascii="等线" w:hAnsi="等线" w:eastAsia="等线"/>
          <w:b w:val="0"/>
          <w:sz w:val="21"/>
        </w:rPr>
        <w:t>3. 重大不确定因素范畴</w:t>
      </w:r>
    </w:p>
    <w:p>
      <w:pPr>
        <w:ind w:left="480"/>
        <w:jc w:val="left"/>
      </w:pPr>
      <w:r>
        <w:rPr>
          <w:rFonts w:ascii="等线" w:hAnsi="等线" w:eastAsia="等线"/>
          <w:b w:val="0"/>
          <w:sz w:val="21"/>
        </w:rPr>
        <w:t>◦ 包括气候变化的速度、政策执行的力度以及新兴绿色技术的发展速度等。</w:t>
      </w:r>
    </w:p>
    <w:p>
      <w:pPr>
        <w:jc w:val="left"/>
      </w:pPr>
      <w:r>
        <w:rPr>
          <w:rFonts w:ascii="等线" w:hAnsi="等线" w:eastAsia="等线"/>
          <w:b w:val="0"/>
          <w:sz w:val="21"/>
        </w:rPr>
        <w:t>4. 策略和业务模式调整能力</w:t>
      </w:r>
    </w:p>
    <w:p>
      <w:pPr>
        <w:ind w:left="480"/>
        <w:jc w:val="left"/>
      </w:pPr>
      <w:r>
        <w:rPr>
          <w:rFonts w:ascii="等线" w:hAnsi="等线" w:eastAsia="等线"/>
          <w:b w:val="0"/>
          <w:sz w:val="21"/>
        </w:rPr>
        <w:t>◦ 银行具备根据气候发展调整策略的能力，如灵活调整信贷政策和资金投向。</w:t>
      </w:r>
    </w:p>
    <w:p>
      <w:pPr>
        <w:jc w:val="left"/>
      </w:pPr>
      <w:r>
        <w:rPr>
          <w:rFonts w:ascii="等线" w:hAnsi="等线" w:eastAsia="等线"/>
          <w:b w:val="0"/>
          <w:sz w:val="21"/>
        </w:rPr>
        <w:t>5. 气候相关情景分析详情</w:t>
      </w:r>
    </w:p>
    <w:p>
      <w:pPr>
        <w:jc w:val="left"/>
      </w:pPr>
      <w:r>
        <w:rPr>
          <w:rFonts w:ascii="等线" w:hAnsi="等线" w:eastAsia="等线"/>
          <w:b w:val="0"/>
          <w:sz w:val="21"/>
        </w:rPr>
        <w:t>6. 输入数据</w:t>
      </w:r>
    </w:p>
    <w:p>
      <w:pPr>
        <w:ind w:left="480"/>
        <w:jc w:val="left"/>
      </w:pPr>
      <w:r>
        <w:rPr>
          <w:rFonts w:ascii="等线" w:hAnsi="等线" w:eastAsia="等线"/>
          <w:b w:val="0"/>
          <w:sz w:val="21"/>
        </w:rPr>
        <w:t>◦ 气候相关情景及其来源：采用了政府间气候变化专门委员会（IPCC）的情景，涵盖不同的温室气体排放轨迹。</w:t>
      </w:r>
    </w:p>
    <w:p>
      <w:pPr>
        <w:ind w:left="480"/>
        <w:jc w:val="left"/>
      </w:pPr>
      <w:r>
        <w:rPr>
          <w:rFonts w:ascii="等线" w:hAnsi="等线" w:eastAsia="等线"/>
          <w:b w:val="0"/>
          <w:sz w:val="21"/>
        </w:rPr>
        <w:t>◦ 情景多样性：涵盖了多种情景，包括高排放、中排放和低排放情景。</w:t>
      </w:r>
    </w:p>
    <w:p>
      <w:pPr>
        <w:ind w:left="480"/>
        <w:jc w:val="left"/>
      </w:pPr>
      <w:r>
        <w:rPr>
          <w:rFonts w:ascii="等线" w:hAnsi="等线" w:eastAsia="等线"/>
          <w:b w:val="0"/>
          <w:sz w:val="21"/>
        </w:rPr>
        <w:t>◦ 风险相关性：与气候相关转型风险和物理风险均有关。</w:t>
      </w:r>
    </w:p>
    <w:p>
      <w:pPr>
        <w:ind w:left="480"/>
        <w:jc w:val="left"/>
      </w:pPr>
      <w:r>
        <w:rPr>
          <w:rFonts w:ascii="等线" w:hAnsi="等线" w:eastAsia="等线"/>
          <w:b w:val="0"/>
          <w:sz w:val="21"/>
        </w:rPr>
        <w:t>◦ 与国际协议一致性：采用了与《巴黎协定》目标相一致的情景，因为这与全球气候治理方向相符。</w:t>
      </w:r>
    </w:p>
    <w:p>
      <w:pPr>
        <w:ind w:left="480"/>
        <w:jc w:val="left"/>
      </w:pPr>
      <w:r>
        <w:rPr>
          <w:rFonts w:ascii="等线" w:hAnsi="等线" w:eastAsia="等线"/>
          <w:b w:val="0"/>
          <w:sz w:val="21"/>
        </w:rPr>
        <w:t>◦ 时间范围：分析的时间范围为短期到长期（1 - 20年）。</w:t>
      </w:r>
    </w:p>
    <w:p>
      <w:pPr>
        <w:ind w:left="480"/>
        <w:jc w:val="left"/>
      </w:pPr>
      <w:r>
        <w:rPr>
          <w:rFonts w:ascii="等线" w:hAnsi="等线" w:eastAsia="等线"/>
          <w:b w:val="0"/>
          <w:sz w:val="21"/>
        </w:rPr>
        <w:t>◦ 营运范围：涵盖了国内主要业务地区和主要业务单位。</w:t>
      </w:r>
    </w:p>
    <w:p>
      <w:pPr>
        <w:jc w:val="left"/>
      </w:pPr>
      <w:r>
        <w:rPr>
          <w:rFonts w:ascii="等线" w:hAnsi="等线" w:eastAsia="等线"/>
          <w:b w:val="0"/>
          <w:sz w:val="21"/>
        </w:rPr>
        <w:t>7. 关键假设</w:t>
      </w:r>
    </w:p>
    <w:p>
      <w:pPr>
        <w:ind w:left="480"/>
        <w:jc w:val="left"/>
      </w:pPr>
      <w:r>
        <w:rPr>
          <w:rFonts w:ascii="等线" w:hAnsi="等线" w:eastAsia="等线"/>
          <w:b w:val="0"/>
          <w:sz w:val="21"/>
        </w:rPr>
        <w:t>◦ 假设政策对高碳排行业的限制将逐步加强，可再生能源成本将持续下降。</w:t>
      </w:r>
    </w:p>
    <w:p>
      <w:pPr>
        <w:jc w:val="left"/>
      </w:pPr>
      <w:r>
        <w:rPr>
          <w:rFonts w:ascii="等线" w:hAnsi="等线" w:eastAsia="等线"/>
          <w:b w:val="0"/>
          <w:sz w:val="21"/>
        </w:rPr>
        <w:t>8. 汇报期</w:t>
      </w:r>
    </w:p>
    <w:p>
      <w:pPr>
        <w:ind w:left="480"/>
        <w:jc w:val="left"/>
      </w:pPr>
      <w:r>
        <w:rPr>
          <w:rFonts w:ascii="等线" w:hAnsi="等线" w:eastAsia="等线"/>
          <w:b w:val="0"/>
          <w:sz w:val="21"/>
        </w:rPr>
        <w:t>◦ 本次气候相关情景分析的汇报期为</w:t>
      </w:r>
      <w:r>
        <w:rPr>
          <w:rFonts w:ascii="等线" w:hAnsi="等线" w:eastAsia="等线"/>
          <w:b w:val="0"/>
          <w:sz w:val="21"/>
          <w:highlight w:val="yellow"/>
        </w:rPr>
        <w:t>[具体年份]</w:t>
      </w:r>
      <w:r>
        <w:rPr>
          <w:rFonts w:ascii="等线" w:hAnsi="等线" w:eastAsia="等线"/>
          <w:b w:val="0"/>
          <w:sz w:val="21"/>
        </w:rPr>
        <w:t>。</w:t>
      </w:r>
    </w:p>
    <w:p>
      <w:pPr>
        <w:pStyle w:val="Heading3"/>
      </w:pPr>
      <w:r>
        <w:rPr>
          <w:rFonts w:ascii="等线" w:hAnsi="等线" w:eastAsia="等线"/>
          <w:color w:val="000000"/>
          <w:sz w:val="28"/>
        </w:rPr>
        <w:t>影响风险与机遇管理流程</w:t>
      </w:r>
    </w:p>
    <w:p>
      <w:pPr>
        <w:jc w:val="left"/>
      </w:pPr>
      <w:r>
        <w:rPr>
          <w:rFonts w:ascii="等线" w:hAnsi="等线" w:eastAsia="等线"/>
          <w:b w:val="0"/>
          <w:sz w:val="21"/>
        </w:rPr>
        <w:t>大型国有银行业企业ESG报告：环境 - 应对气候变化 - 影响风险与机遇管理流程</w:t>
      </w:r>
    </w:p>
    <w:p>
      <w:pPr>
        <w:jc w:val="left"/>
      </w:pPr>
      <w:r>
        <w:rPr>
          <w:rFonts w:ascii="等线" w:hAnsi="等线" w:eastAsia="等线"/>
          <w:b w:val="0"/>
          <w:sz w:val="21"/>
        </w:rPr>
        <w:t>一、识别、评估气候相关风险和机遇及厘定轻重缓急并保持监察的流程及相关政策</w:t>
      </w:r>
    </w:p>
    <w:p>
      <w:pPr>
        <w:jc w:val="left"/>
      </w:pPr>
      <w:r>
        <w:rPr>
          <w:rFonts w:ascii="等线" w:hAnsi="等线" w:eastAsia="等线"/>
          <w:b w:val="0"/>
          <w:sz w:val="21"/>
        </w:rPr>
        <w:t>（一）输入资料及参数</w:t>
      </w:r>
    </w:p>
    <w:p>
      <w:pPr>
        <w:jc w:val="left"/>
      </w:pPr>
      <w:r>
        <w:rPr>
          <w:rFonts w:ascii="等线" w:hAnsi="等线" w:eastAsia="等线"/>
          <w:b w:val="0"/>
          <w:sz w:val="21"/>
        </w:rPr>
        <w:t>1. 资料来源</w:t>
      </w:r>
    </w:p>
    <w:p>
      <w:pPr>
        <w:jc w:val="left"/>
      </w:pPr>
      <w:r>
        <w:rPr>
          <w:rFonts w:ascii="等线" w:hAnsi="等线" w:eastAsia="等线"/>
          <w:b w:val="0"/>
          <w:sz w:val="21"/>
        </w:rPr>
        <w:t>2. 内部数据：从本行遍布全球的分支机构收集能源消耗数据，包括办公场所的电力、热力使用量（以千瓦时和吉焦为单位），以及本行数据中心的冷却系统能耗等。这些数据来源于本行的设施管理部门的月度和年度报告。</w:t>
      </w:r>
    </w:p>
    <w:p>
      <w:pPr>
        <w:jc w:val="left"/>
      </w:pPr>
      <w:r>
        <w:rPr>
          <w:rFonts w:ascii="等线" w:hAnsi="等线" w:eastAsia="等线"/>
          <w:b w:val="0"/>
          <w:sz w:val="21"/>
        </w:rPr>
        <w:t>3. 外部数据：参考国际权威气候研究机构（如IPCC）的报告，获取全球气候变化趋势数据，包括气温上升幅度、海平面上升预测等。同时，订阅专业的气候风险分析数据提供商（如穆迪ESG Solutions）的服务，获取特定地区和行业的气候风险评分等数据，这些数据涵盖了不同行业的碳排放强度、水资源脆弱性等指标。</w:t>
      </w:r>
    </w:p>
    <w:p>
      <w:pPr>
        <w:jc w:val="left"/>
      </w:pPr>
      <w:r>
        <w:rPr>
          <w:rFonts w:ascii="等线" w:hAnsi="等线" w:eastAsia="等线"/>
          <w:b w:val="0"/>
          <w:sz w:val="21"/>
        </w:rPr>
        <w:t>4. 业务范围涵盖</w:t>
      </w:r>
    </w:p>
    <w:p>
      <w:pPr>
        <w:jc w:val="left"/>
      </w:pPr>
      <w:r>
        <w:rPr>
          <w:rFonts w:ascii="等线" w:hAnsi="等线" w:eastAsia="等线"/>
          <w:b w:val="0"/>
          <w:sz w:val="21"/>
        </w:rPr>
        <w:t>5. 本行的公司金融业务，包括对能源、制造业、农业等不同行业客户的贷款业务。评估这些客户的业务活动对气候变化的影响以及面临的气候风险，例如对高碳排放行业客户的贷款占总贷款的比例（以百分比表示），以及这些客户的减排计划与本行风险管理的关联。</w:t>
      </w:r>
    </w:p>
    <w:p>
      <w:pPr>
        <w:jc w:val="left"/>
      </w:pPr>
      <w:r>
        <w:rPr>
          <w:rFonts w:ascii="等线" w:hAnsi="等线" w:eastAsia="等线"/>
          <w:b w:val="0"/>
          <w:sz w:val="21"/>
        </w:rPr>
        <w:t>6. 零售金融业务，如个人住房贷款业务中对位于洪水、飓风等高风险地区的房产贷款情况，统计位于此类地区的贷款余额占个人住房贷款总余额的比例（以百分比表示）。</w:t>
      </w:r>
    </w:p>
    <w:p>
      <w:pPr>
        <w:jc w:val="left"/>
      </w:pPr>
      <w:r>
        <w:rPr>
          <w:rFonts w:ascii="等线" w:hAnsi="等线" w:eastAsia="等线"/>
          <w:b w:val="0"/>
          <w:sz w:val="21"/>
        </w:rPr>
        <w:t>（二）气候相关情景分析的使用</w:t>
      </w:r>
    </w:p>
    <w:p>
      <w:pPr>
        <w:jc w:val="left"/>
      </w:pPr>
      <w:r>
        <w:rPr>
          <w:rFonts w:ascii="等线" w:hAnsi="等线" w:eastAsia="等线"/>
          <w:b w:val="0"/>
          <w:sz w:val="21"/>
        </w:rPr>
        <w:t>1. 识别气候相关风险</w:t>
      </w:r>
    </w:p>
    <w:p>
      <w:pPr>
        <w:jc w:val="left"/>
      </w:pPr>
      <w:r>
        <w:rPr>
          <w:rFonts w:ascii="等线" w:hAnsi="等线" w:eastAsia="等线"/>
          <w:b w:val="0"/>
          <w:sz w:val="21"/>
        </w:rPr>
        <w:t>2. 采用不同的气候情景，如2℃和4℃升温情景。在2℃升温情景下，分析沿海地区分行可能面临的海平面上升导致的洪水风险，预测受影响的分行数量（以具体数字表示）以及可能造成的资产损失（以美元为单位）。</w:t>
      </w:r>
    </w:p>
    <w:p>
      <w:pPr>
        <w:jc w:val="left"/>
      </w:pPr>
      <w:r>
        <w:rPr>
          <w:rFonts w:ascii="等线" w:hAnsi="等线" w:eastAsia="等线"/>
          <w:b w:val="0"/>
          <w:sz w:val="21"/>
        </w:rPr>
        <w:t>3. 对于农业相关贷款业务，在干旱加剧的情景下，评估农业客户违约风险的增加程度。根据历史数据和气候模型预测，估算在干旱情景下农业贷款违约率可能上升的幅度（以百分比表示）。</w:t>
      </w:r>
    </w:p>
    <w:p>
      <w:pPr>
        <w:jc w:val="left"/>
      </w:pPr>
      <w:r>
        <w:rPr>
          <w:rFonts w:ascii="等线" w:hAnsi="等线" w:eastAsia="等线"/>
          <w:b w:val="0"/>
          <w:sz w:val="21"/>
        </w:rPr>
        <w:t>（三）风险影响的评估</w:t>
      </w:r>
    </w:p>
    <w:p>
      <w:pPr>
        <w:jc w:val="left"/>
      </w:pPr>
      <w:r>
        <w:rPr>
          <w:rFonts w:ascii="等线" w:hAnsi="等线" w:eastAsia="等线"/>
          <w:b w:val="0"/>
          <w:sz w:val="21"/>
        </w:rPr>
        <w:t>1. 性质、可能性及程度评估</w:t>
      </w:r>
    </w:p>
    <w:p>
      <w:pPr>
        <w:jc w:val="left"/>
      </w:pPr>
      <w:r>
        <w:rPr>
          <w:rFonts w:ascii="等线" w:hAnsi="等线" w:eastAsia="等线"/>
          <w:b w:val="0"/>
          <w:sz w:val="21"/>
        </w:rPr>
        <w:t>2. 定性因素：考虑气候相关风险对本行声誉的影响。例如，如果本行被发现为高污染企业提供大量资金支持，可能面临公众舆论压力和品牌形象受损的风险。通过媒体报道数量、社交媒体负面评价数量（以具体数字表示）等指标来衡量这种风险的可能性和影响程度。</w:t>
      </w:r>
    </w:p>
    <w:p>
      <w:pPr>
        <w:jc w:val="left"/>
      </w:pPr>
      <w:r>
        <w:rPr>
          <w:rFonts w:ascii="等线" w:hAnsi="等线" w:eastAsia="等线"/>
          <w:b w:val="0"/>
          <w:sz w:val="21"/>
        </w:rPr>
        <w:t>3. 量化门槛：设定本行对高碳资产的风险容忍度。例如，当对高碳排放行业的贷款占比超过本行总资产的10%（以百分比表示）时，视为高风险状态，需要采取相应的风险管理措施。</w:t>
      </w:r>
    </w:p>
    <w:p>
      <w:pPr>
        <w:jc w:val="left"/>
      </w:pPr>
      <w:r>
        <w:rPr>
          <w:rFonts w:ascii="等线" w:hAnsi="等线" w:eastAsia="等线"/>
          <w:b w:val="0"/>
          <w:sz w:val="21"/>
        </w:rPr>
        <w:t>4. 优次排列（相对于其他类型风险）</w:t>
      </w:r>
    </w:p>
    <w:p>
      <w:pPr>
        <w:jc w:val="left"/>
      </w:pPr>
      <w:r>
        <w:rPr>
          <w:rFonts w:ascii="等线" w:hAnsi="等线" w:eastAsia="等线"/>
          <w:b w:val="0"/>
          <w:sz w:val="21"/>
        </w:rPr>
        <w:t>5. 采用风险矩阵方法，将气候相关风险与信用风险、市场风险等其他风险进行比较。根据风险的潜在损失金额（以美元为单位）和发生的可能性（以百分比表示），确定气候相关风险在整体风险中的优先排序。例如，如果气候相关风险预计可能导致1亿美元的损失，且发生概率为10%，而信用风险预计可能导致2亿美元的损失，发生概率为15%，则信用风险的优先度更高，但气候相关风险也需要密切关注。</w:t>
      </w:r>
    </w:p>
    <w:p>
      <w:pPr>
        <w:jc w:val="left"/>
      </w:pPr>
      <w:r>
        <w:rPr>
          <w:rFonts w:ascii="等线" w:hAnsi="等线" w:eastAsia="等线"/>
          <w:b w:val="0"/>
          <w:sz w:val="21"/>
        </w:rPr>
        <w:t>（四）风险监察</w:t>
      </w:r>
    </w:p>
    <w:p>
      <w:pPr>
        <w:jc w:val="left"/>
      </w:pPr>
      <w:r>
        <w:rPr>
          <w:rFonts w:ascii="等线" w:hAnsi="等线" w:eastAsia="等线"/>
          <w:b w:val="0"/>
          <w:sz w:val="21"/>
        </w:rPr>
        <w:t>1. 监察方法</w:t>
      </w:r>
    </w:p>
    <w:p>
      <w:pPr>
        <w:jc w:val="left"/>
      </w:pPr>
      <w:r>
        <w:rPr>
          <w:rFonts w:ascii="等线" w:hAnsi="等线" w:eastAsia="等线"/>
          <w:b w:val="0"/>
          <w:sz w:val="21"/>
        </w:rPr>
        <w:t>2. 建立定期的风险评估机制，每季度对气候相关风险进行重新评估。监测关键指标的变化，如本行投资组合中的高碳资产比例（以百分比表示）、位于气候高风险地区的贷款余额（以美元为单位）等。</w:t>
      </w:r>
    </w:p>
    <w:p>
      <w:pPr>
        <w:jc w:val="left"/>
      </w:pPr>
      <w:r>
        <w:rPr>
          <w:rFonts w:ascii="等线" w:hAnsi="等线" w:eastAsia="等线"/>
          <w:b w:val="0"/>
          <w:sz w:val="21"/>
        </w:rPr>
        <w:t>3. 利用先进的风险管理软件，实时跟踪气候变化相关的政策法规变化对本行的影响，及时调整风险管理策略。</w:t>
      </w:r>
    </w:p>
    <w:p>
      <w:pPr>
        <w:jc w:val="left"/>
      </w:pPr>
      <w:r>
        <w:rPr>
          <w:rFonts w:ascii="等线" w:hAnsi="等线" w:eastAsia="等线"/>
          <w:b w:val="0"/>
          <w:sz w:val="21"/>
        </w:rPr>
        <w:t>（五）与上一汇报期相比流程的改变</w:t>
      </w:r>
    </w:p>
    <w:p>
      <w:pPr>
        <w:jc w:val="left"/>
      </w:pPr>
      <w:r>
        <w:rPr>
          <w:rFonts w:ascii="等线" w:hAnsi="等线" w:eastAsia="等线"/>
          <w:b w:val="0"/>
          <w:sz w:val="21"/>
        </w:rPr>
        <w:t>1. 流程改进</w:t>
      </w:r>
    </w:p>
    <w:p>
      <w:pPr>
        <w:jc w:val="left"/>
      </w:pPr>
      <w:r>
        <w:rPr>
          <w:rFonts w:ascii="等线" w:hAnsi="等线" w:eastAsia="等线"/>
          <w:b w:val="0"/>
          <w:sz w:val="21"/>
        </w:rPr>
        <w:t>2. 在上一汇报期，本行主要依赖外部数据提供商的一般性气候风险数据。本汇报期，本行增加了内部数据收集的深度和广度，例如详细统计了每个分行的碳排放数据（以吨二氧化碳当量为单位），以便更精准地评估气候相关风险。</w:t>
      </w:r>
    </w:p>
    <w:p>
      <w:pPr>
        <w:jc w:val="left"/>
      </w:pPr>
      <w:r>
        <w:rPr>
          <w:rFonts w:ascii="等线" w:hAnsi="等线" w:eastAsia="等线"/>
          <w:b w:val="0"/>
          <w:sz w:val="21"/>
        </w:rPr>
        <w:t>3. 风险评估模型的改进，上一汇报期采用简单的线性模型评估气候风险对贷款违约率的影响，本汇报期引入了更复杂的非线性模型，提高了风险评估的准确性。</w:t>
      </w:r>
    </w:p>
    <w:p>
      <w:pPr>
        <w:jc w:val="left"/>
      </w:pPr>
      <w:r>
        <w:rPr>
          <w:rFonts w:ascii="等线" w:hAnsi="等线" w:eastAsia="等线"/>
          <w:b w:val="0"/>
          <w:sz w:val="21"/>
        </w:rPr>
        <w:t>二、识别、评估气候相关机遇及厘定轻重缓急并保持监察的流程</w:t>
      </w:r>
    </w:p>
    <w:p>
      <w:pPr>
        <w:jc w:val="left"/>
      </w:pPr>
      <w:r>
        <w:rPr>
          <w:rFonts w:ascii="等线" w:hAnsi="等线" w:eastAsia="等线"/>
          <w:b w:val="0"/>
          <w:sz w:val="21"/>
        </w:rPr>
        <w:t>1. 机遇识别</w:t>
      </w:r>
    </w:p>
    <w:p>
      <w:pPr>
        <w:jc w:val="left"/>
      </w:pPr>
      <w:r>
        <w:rPr>
          <w:rFonts w:ascii="等线" w:hAnsi="等线" w:eastAsia="等线"/>
          <w:b w:val="0"/>
          <w:sz w:val="21"/>
        </w:rPr>
        <w:t>2. 通过情景分析，在全球向低碳经济转型的情景下，本行识别出对可再生能源项目融资的机遇。例如，分析不同国家和地区的可再生能源发展目标，预测未来5年（以具体年限表示）可再生能源项目的融资需求（以亿美元为单位）。</w:t>
      </w:r>
    </w:p>
    <w:p>
      <w:pPr>
        <w:jc w:val="left"/>
      </w:pPr>
      <w:r>
        <w:rPr>
          <w:rFonts w:ascii="等线" w:hAnsi="等线" w:eastAsia="等线"/>
          <w:b w:val="0"/>
          <w:sz w:val="21"/>
        </w:rPr>
        <w:t>3. 关注绿色金融产品创新机遇，如发行绿色债券。分析国际市场上绿色债券的需求增长趋势，根据市场研究机构的数据，预计未来3年（以具体年限表示）绿色债券市场规模将以每年15%（以百分比表示）的速度增长，本行将积极参与其中。</w:t>
      </w:r>
    </w:p>
    <w:p>
      <w:pPr>
        <w:jc w:val="left"/>
      </w:pPr>
      <w:r>
        <w:rPr>
          <w:rFonts w:ascii="等线" w:hAnsi="等线" w:eastAsia="等线"/>
          <w:b w:val="0"/>
          <w:sz w:val="21"/>
        </w:rPr>
        <w:t>4. 评估与监察</w:t>
      </w:r>
    </w:p>
    <w:p>
      <w:pPr>
        <w:jc w:val="left"/>
      </w:pPr>
      <w:r>
        <w:rPr>
          <w:rFonts w:ascii="等线" w:hAnsi="等线" w:eastAsia="等线"/>
          <w:b w:val="0"/>
          <w:sz w:val="21"/>
        </w:rPr>
        <w:t>5. 评估绿色金融业务的潜在收益，包括绿色贷款的利息收入、绿色债券发行的承销收入等。设定目标，如在未来2年（以具体年限表示）内，绿色金融业务收入占总业务收入的比例提高到5%（以百分比表示）。</w:t>
      </w:r>
    </w:p>
    <w:p>
      <w:pPr>
        <w:jc w:val="left"/>
      </w:pPr>
      <w:r>
        <w:rPr>
          <w:rFonts w:ascii="等线" w:hAnsi="等线" w:eastAsia="等线"/>
          <w:b w:val="0"/>
          <w:sz w:val="21"/>
        </w:rPr>
        <w:t>6. 建立专门的绿色金融业务监测小组，每月（以时间周期表示）对绿色金融业务的发展情况进行评估，包括绿色项目的审批速度、绿色金融产品的市场反馈等。</w:t>
      </w:r>
    </w:p>
    <w:p>
      <w:pPr>
        <w:jc w:val="left"/>
      </w:pPr>
      <w:r>
        <w:rPr>
          <w:rFonts w:ascii="等线" w:hAnsi="等线" w:eastAsia="等线"/>
          <w:b w:val="0"/>
          <w:sz w:val="21"/>
        </w:rPr>
        <w:t>三、融入整体风险管理流程</w:t>
      </w:r>
    </w:p>
    <w:p>
      <w:pPr>
        <w:jc w:val="left"/>
      </w:pPr>
      <w:r>
        <w:rPr>
          <w:rFonts w:ascii="等线" w:hAnsi="等线" w:eastAsia="等线"/>
          <w:b w:val="0"/>
          <w:sz w:val="21"/>
        </w:rPr>
        <w:t>1. 融入方式</w:t>
      </w:r>
    </w:p>
    <w:p>
      <w:pPr>
        <w:jc w:val="left"/>
      </w:pPr>
      <w:r>
        <w:rPr>
          <w:rFonts w:ascii="等线" w:hAnsi="等线" w:eastAsia="等线"/>
          <w:b w:val="0"/>
          <w:sz w:val="21"/>
        </w:rPr>
        <w:t>2. 在本行的风险管理框架中，将气候相关风险和机遇管理纳入战略风险管理层面。在制定银行的长期发展战略时，考虑气候变化因素对业务的影响。例如，在设定未来10年（以具体年限表示）的业务增长目标时，预留一定比例的资源用于发展绿色金融业务，以应对气候变化带来的机遇和风险。</w:t>
      </w:r>
    </w:p>
    <w:p>
      <w:pPr>
        <w:jc w:val="left"/>
      </w:pPr>
      <w:r>
        <w:rPr>
          <w:rFonts w:ascii="等线" w:hAnsi="等线" w:eastAsia="等线"/>
          <w:b w:val="0"/>
          <w:sz w:val="21"/>
        </w:rPr>
        <w:t>3. 在操作风险管理方面，将气候相关风险纳入操作风险事件的识别和评估范围。例如，将极端气候事件导致的分行停业时间（以小时为单位）作为操作风险的一个考量因素，制定相应的应急预案。</w:t>
      </w:r>
    </w:p>
    <w:p>
      <w:pPr>
        <w:jc w:val="left"/>
      </w:pPr>
      <w:r>
        <w:rPr>
          <w:rFonts w:ascii="等线" w:hAnsi="等线" w:eastAsia="等线"/>
          <w:b w:val="0"/>
          <w:sz w:val="21"/>
        </w:rPr>
        <w:t>4. 融入程度</w:t>
      </w:r>
    </w:p>
    <w:p>
      <w:pPr>
        <w:jc w:val="left"/>
      </w:pPr>
      <w:r>
        <w:rPr>
          <w:rFonts w:ascii="等线" w:hAnsi="等线" w:eastAsia="等线"/>
          <w:b w:val="0"/>
          <w:sz w:val="21"/>
        </w:rPr>
        <w:t>5. 目前，气候相关风险和机遇管理已经成为本行风险管理流程中不可或缺的一部分。在风险评估、决策制定、内部审计等各个环节都充分考虑气候因素。例如，本行的内部审计部门每年（以时间周期表示）都会对气候相关风险管理流程进行审计，确保其有效性和合规性。本行在决策过程中，如重大项目投资决策（涉及金额超过10亿美元的项目，以金额为标准），必须进行气候风险评估，并且要求气候相关风险评估报告作为决策依据的一部分。</w:t>
      </w:r>
    </w:p>
    <w:p>
      <w:pPr>
        <w:pStyle w:val="Heading3"/>
      </w:pPr>
      <w:r>
        <w:rPr>
          <w:rFonts w:ascii="等线" w:hAnsi="等线" w:eastAsia="等线"/>
          <w:color w:val="000000"/>
          <w:sz w:val="28"/>
        </w:rPr>
        <w:t>目标与指标</w:t>
      </w:r>
    </w:p>
    <w:p>
      <w:pPr>
        <w:jc w:val="left"/>
      </w:pPr>
      <w:r>
        <w:rPr>
          <w:rFonts w:ascii="等线" w:hAnsi="等线" w:eastAsia="等线"/>
          <w:b w:val="0"/>
          <w:sz w:val="21"/>
        </w:rPr>
        <w:t>一、温室气体排放总量及分类排放量</w:t>
      </w:r>
    </w:p>
    <w:p>
      <w:pPr>
        <w:jc w:val="left"/>
      </w:pPr>
      <w:r>
        <w:rPr>
          <w:rFonts w:ascii="等线" w:hAnsi="等线" w:eastAsia="等线"/>
          <w:b w:val="0"/>
          <w:sz w:val="21"/>
        </w:rPr>
        <w:t>1. 温室气体排放总量</w:t>
      </w:r>
    </w:p>
    <w:p>
      <w:pPr>
        <w:jc w:val="left"/>
      </w:pPr>
      <w:r>
        <w:rPr>
          <w:rFonts w:ascii="等线" w:hAnsi="等线" w:eastAsia="等线"/>
          <w:b w:val="0"/>
          <w:sz w:val="21"/>
        </w:rPr>
        <w:t>2. 在报告期内，本银行的温室气体绝对总排放量为</w:t>
      </w:r>
      <w:r>
        <w:rPr>
          <w:rFonts w:ascii="等线" w:hAnsi="等线" w:eastAsia="等线"/>
          <w:b w:val="0"/>
          <w:sz w:val="21"/>
          <w:highlight w:val="yellow"/>
        </w:rPr>
        <w:t>[X]</w:t>
      </w:r>
      <w:r>
        <w:rPr>
          <w:rFonts w:ascii="等线" w:hAnsi="等线" w:eastAsia="等线"/>
          <w:b w:val="0"/>
          <w:sz w:val="21"/>
        </w:rPr>
        <w:t>公吨二氧化碳当量。</w:t>
      </w:r>
    </w:p>
    <w:p>
      <w:pPr>
        <w:jc w:val="left"/>
      </w:pPr>
      <w:r>
        <w:rPr>
          <w:rFonts w:ascii="等线" w:hAnsi="等线" w:eastAsia="等线"/>
          <w:b w:val="0"/>
          <w:sz w:val="21"/>
        </w:rPr>
        <w:t>3. 范围1温室气体排放</w:t>
      </w:r>
    </w:p>
    <w:p>
      <w:pPr>
        <w:jc w:val="left"/>
      </w:pPr>
      <w:r>
        <w:rPr>
          <w:rFonts w:ascii="等线" w:hAnsi="等线" w:eastAsia="等线"/>
          <w:b w:val="0"/>
          <w:sz w:val="21"/>
        </w:rPr>
        <w:t>4. 范围1温室气体排放主要来源于银行自有设施（如办公大楼的能源消耗、自有车辆的燃油使用等），排放量为</w:t>
      </w:r>
      <w:r>
        <w:rPr>
          <w:rFonts w:ascii="等线" w:hAnsi="等线" w:eastAsia="等线"/>
          <w:b w:val="0"/>
          <w:sz w:val="21"/>
          <w:highlight w:val="yellow"/>
        </w:rPr>
        <w:t>[X1]</w:t>
      </w:r>
      <w:r>
        <w:rPr>
          <w:rFonts w:ascii="等线" w:hAnsi="等线" w:eastAsia="等线"/>
          <w:b w:val="0"/>
          <w:sz w:val="21"/>
        </w:rPr>
        <w:t>公吨二氧化碳当量。计算过程依据《温室气体核算体系：企业核算与报告标准（2004年）》，采用的计量方法为</w:t>
      </w:r>
      <w:r>
        <w:rPr>
          <w:rFonts w:ascii="等线" w:hAnsi="等线" w:eastAsia="等线"/>
          <w:b w:val="0"/>
          <w:sz w:val="21"/>
          <w:highlight w:val="yellow"/>
        </w:rPr>
        <w:t>[具体计量方法名称]</w:t>
      </w:r>
      <w:r>
        <w:rPr>
          <w:rFonts w:ascii="等线" w:hAnsi="等线" w:eastAsia="等线"/>
          <w:b w:val="0"/>
          <w:sz w:val="21"/>
        </w:rPr>
        <w:t>，输入资料包括</w:t>
      </w:r>
      <w:r>
        <w:rPr>
          <w:rFonts w:ascii="等线" w:hAnsi="等线" w:eastAsia="等线"/>
          <w:b w:val="0"/>
          <w:sz w:val="21"/>
          <w:highlight w:val="yellow"/>
        </w:rPr>
        <w:t>[列出具体的输入数据，如能源消耗数据等]</w:t>
      </w:r>
      <w:r>
        <w:rPr>
          <w:rFonts w:ascii="等线" w:hAnsi="等线" w:eastAsia="等线"/>
          <w:b w:val="0"/>
          <w:sz w:val="21"/>
        </w:rPr>
        <w:t>，假设为</w:t>
      </w:r>
      <w:r>
        <w:rPr>
          <w:rFonts w:ascii="等线" w:hAnsi="等线" w:eastAsia="等线"/>
          <w:b w:val="0"/>
          <w:sz w:val="21"/>
          <w:highlight w:val="yellow"/>
        </w:rPr>
        <w:t>[列出假设条件，如能源燃烧效率假设等]</w:t>
      </w:r>
      <w:r>
        <w:rPr>
          <w:rFonts w:ascii="等线" w:hAnsi="等线" w:eastAsia="等线"/>
          <w:b w:val="0"/>
          <w:sz w:val="21"/>
        </w:rPr>
        <w:t>。选择该方法是因为其在国际上被广泛认可且适用于本银行的业务类型。报告期内计量方法、输入资料及假设无变更。</w:t>
      </w:r>
    </w:p>
    <w:p>
      <w:pPr>
        <w:jc w:val="left"/>
      </w:pPr>
      <w:r>
        <w:rPr>
          <w:rFonts w:ascii="等线" w:hAnsi="等线" w:eastAsia="等线"/>
          <w:b w:val="0"/>
          <w:sz w:val="21"/>
        </w:rPr>
        <w:t>5. 范围2温室气体排放</w:t>
      </w:r>
    </w:p>
    <w:p>
      <w:pPr>
        <w:jc w:val="left"/>
      </w:pPr>
      <w:r>
        <w:rPr>
          <w:rFonts w:ascii="等线" w:hAnsi="等线" w:eastAsia="等线"/>
          <w:b w:val="0"/>
          <w:sz w:val="21"/>
        </w:rPr>
        <w:t>6. 范围2温室气体排放为</w:t>
      </w:r>
      <w:r>
        <w:rPr>
          <w:rFonts w:ascii="等线" w:hAnsi="等线" w:eastAsia="等线"/>
          <w:b w:val="0"/>
          <w:sz w:val="21"/>
          <w:highlight w:val="yellow"/>
        </w:rPr>
        <w:t>[X2]</w:t>
      </w:r>
      <w:r>
        <w:rPr>
          <w:rFonts w:ascii="等线" w:hAnsi="等线" w:eastAsia="等线"/>
          <w:b w:val="0"/>
          <w:sz w:val="21"/>
        </w:rPr>
        <w:t>公吨二氧化碳当量。以地域为基准的范围2温室气体排放情况如下：</w:t>
      </w:r>
      <w:r>
        <w:rPr>
          <w:rFonts w:ascii="等线" w:hAnsi="等线" w:eastAsia="等线"/>
          <w:b w:val="0"/>
          <w:sz w:val="21"/>
          <w:highlight w:val="yellow"/>
        </w:rPr>
        <w:t>[按不同地域列出排放量]</w:t>
      </w:r>
      <w:r>
        <w:rPr>
          <w:rFonts w:ascii="等线" w:hAnsi="等线" w:eastAsia="等线"/>
          <w:b w:val="0"/>
          <w:sz w:val="21"/>
        </w:rPr>
        <w:t>。计算依据上述标准，计量方法为</w:t>
      </w:r>
      <w:r>
        <w:rPr>
          <w:rFonts w:ascii="等线" w:hAnsi="等线" w:eastAsia="等线"/>
          <w:b w:val="0"/>
          <w:sz w:val="21"/>
          <w:highlight w:val="yellow"/>
        </w:rPr>
        <w:t>[具体方法]</w:t>
      </w:r>
      <w:r>
        <w:rPr>
          <w:rFonts w:ascii="等线" w:hAnsi="等线" w:eastAsia="等线"/>
          <w:b w:val="0"/>
          <w:sz w:val="21"/>
        </w:rPr>
        <w:t>，涉及的合约文书主要为与电力供应商签订的购电协议等，协议中明确了电力来源及相关的温室气体排放责任划分等条款。</w:t>
      </w:r>
    </w:p>
    <w:p>
      <w:pPr>
        <w:jc w:val="left"/>
      </w:pPr>
      <w:r>
        <w:rPr>
          <w:rFonts w:ascii="等线" w:hAnsi="等线" w:eastAsia="等线"/>
          <w:b w:val="0"/>
          <w:sz w:val="21"/>
        </w:rPr>
        <w:t>7. 范围3温室气体排放（如有）</w:t>
      </w:r>
    </w:p>
    <w:p>
      <w:pPr>
        <w:jc w:val="left"/>
      </w:pPr>
      <w:r>
        <w:rPr>
          <w:rFonts w:ascii="等线" w:hAnsi="等线" w:eastAsia="等线"/>
          <w:b w:val="0"/>
          <w:sz w:val="21"/>
        </w:rPr>
        <w:t>8. 根据《温室气体核算体系：企业价值链（范围3）核算与报告标准（2011年）》，本银行计量范围3温室气体排放包含的类别有</w:t>
      </w:r>
      <w:r>
        <w:rPr>
          <w:rFonts w:ascii="等线" w:hAnsi="等线" w:eastAsia="等线"/>
          <w:b w:val="0"/>
          <w:sz w:val="21"/>
          <w:highlight w:val="yellow"/>
        </w:rPr>
        <w:t>[列出包含的类别，如商务旅行、办公用品采购等]</w:t>
      </w:r>
      <w:r>
        <w:rPr>
          <w:rFonts w:ascii="等线" w:hAnsi="等线" w:eastAsia="等线"/>
          <w:b w:val="0"/>
          <w:sz w:val="21"/>
        </w:rPr>
        <w:t>，排放量为</w:t>
      </w:r>
      <w:r>
        <w:rPr>
          <w:rFonts w:ascii="等线" w:hAnsi="等线" w:eastAsia="等线"/>
          <w:b w:val="0"/>
          <w:sz w:val="21"/>
          <w:highlight w:val="yellow"/>
        </w:rPr>
        <w:t>[X3]</w:t>
      </w:r>
      <w:r>
        <w:rPr>
          <w:rFonts w:ascii="等线" w:hAnsi="等线" w:eastAsia="等线"/>
          <w:b w:val="0"/>
          <w:sz w:val="21"/>
        </w:rPr>
        <w:t>公吨二氧化碳当量。</w:t>
      </w:r>
    </w:p>
    <w:p>
      <w:pPr>
        <w:jc w:val="left"/>
      </w:pPr>
      <w:r>
        <w:rPr>
          <w:rFonts w:ascii="等线" w:hAnsi="等线" w:eastAsia="等线"/>
          <w:b w:val="0"/>
          <w:sz w:val="21"/>
        </w:rPr>
        <w:t>二、碳信用额度与碳排放权交易相关情况</w:t>
      </w:r>
    </w:p>
    <w:p>
      <w:pPr>
        <w:jc w:val="left"/>
      </w:pPr>
      <w:r>
        <w:rPr>
          <w:rFonts w:ascii="等线" w:hAnsi="等线" w:eastAsia="等线"/>
          <w:b w:val="0"/>
          <w:sz w:val="21"/>
        </w:rPr>
        <w:t>1. 碳信用额度</w:t>
      </w:r>
    </w:p>
    <w:p>
      <w:pPr>
        <w:jc w:val="left"/>
      </w:pPr>
      <w:r>
        <w:rPr>
          <w:rFonts w:ascii="等线" w:hAnsi="等线" w:eastAsia="等线"/>
          <w:b w:val="0"/>
          <w:sz w:val="21"/>
        </w:rPr>
        <w:t>2. 若涉及使用碳信用额度，本银行所使用的碳信用额度来源为</w:t>
      </w:r>
      <w:r>
        <w:rPr>
          <w:rFonts w:ascii="等线" w:hAnsi="等线" w:eastAsia="等线"/>
          <w:b w:val="0"/>
          <w:sz w:val="21"/>
          <w:highlight w:val="yellow"/>
        </w:rPr>
        <w:t>[具体来源，如某国际认可的碳减排项目]</w:t>
      </w:r>
      <w:r>
        <w:rPr>
          <w:rFonts w:ascii="等线" w:hAnsi="等线" w:eastAsia="等线"/>
          <w:b w:val="0"/>
          <w:sz w:val="21"/>
        </w:rPr>
        <w:t>，数量为</w:t>
      </w:r>
      <w:r>
        <w:rPr>
          <w:rFonts w:ascii="等线" w:hAnsi="等线" w:eastAsia="等线"/>
          <w:b w:val="0"/>
          <w:sz w:val="21"/>
          <w:highlight w:val="yellow"/>
        </w:rPr>
        <w:t>[X]</w:t>
      </w:r>
      <w:r>
        <w:rPr>
          <w:rFonts w:ascii="等线" w:hAnsi="等线" w:eastAsia="等线"/>
          <w:b w:val="0"/>
          <w:sz w:val="21"/>
        </w:rPr>
        <w:t>公吨二氧化碳当量。</w:t>
      </w:r>
    </w:p>
    <w:p>
      <w:pPr>
        <w:jc w:val="left"/>
      </w:pPr>
      <w:r>
        <w:rPr>
          <w:rFonts w:ascii="等线" w:hAnsi="等线" w:eastAsia="等线"/>
          <w:b w:val="0"/>
          <w:sz w:val="21"/>
        </w:rPr>
        <w:t>3. 碳排放权交易</w:t>
      </w:r>
    </w:p>
    <w:p>
      <w:pPr>
        <w:jc w:val="left"/>
      </w:pPr>
      <w:r>
        <w:rPr>
          <w:rFonts w:ascii="等线" w:hAnsi="等线" w:eastAsia="等线"/>
          <w:b w:val="0"/>
          <w:sz w:val="21"/>
        </w:rPr>
        <w:t>4. 在参与碳排放权交易方面，报告期内已完成清缴，不存在被有关部门要求整改或立案调查的情形。</w:t>
      </w:r>
    </w:p>
    <w:p>
      <w:pPr>
        <w:jc w:val="left"/>
      </w:pPr>
      <w:r>
        <w:rPr>
          <w:rFonts w:ascii="等线" w:hAnsi="等线" w:eastAsia="等线"/>
          <w:b w:val="0"/>
          <w:sz w:val="21"/>
        </w:rPr>
        <w:t>三、不同分类的温室气体排放情况</w:t>
      </w:r>
    </w:p>
    <w:p>
      <w:pPr>
        <w:jc w:val="left"/>
      </w:pPr>
      <w:r>
        <w:rPr>
          <w:rFonts w:ascii="等线" w:hAnsi="等线" w:eastAsia="等线"/>
          <w:b w:val="0"/>
          <w:sz w:val="21"/>
        </w:rPr>
        <w:t>1. 按业务单位或设施分类</w:t>
      </w:r>
    </w:p>
    <w:p>
      <w:pPr>
        <w:jc w:val="left"/>
      </w:pPr>
      <w:r>
        <w:rPr>
          <w:rFonts w:ascii="等线" w:hAnsi="等线" w:eastAsia="等线"/>
          <w:b w:val="0"/>
          <w:sz w:val="21"/>
        </w:rPr>
        <w:t xml:space="preserve">2. </w:t>
      </w:r>
      <w:r>
        <w:rPr>
          <w:rFonts w:ascii="等线" w:hAnsi="等线" w:eastAsia="等线"/>
          <w:b w:val="0"/>
          <w:sz w:val="21"/>
          <w:highlight w:val="yellow"/>
        </w:rPr>
        <w:t>[业务单位1]</w:t>
      </w:r>
      <w:r>
        <w:rPr>
          <w:rFonts w:ascii="等线" w:hAnsi="等线" w:eastAsia="等线"/>
          <w:b w:val="0"/>
          <w:sz w:val="21"/>
        </w:rPr>
        <w:t>的温室气体排放量为</w:t>
      </w:r>
      <w:r>
        <w:rPr>
          <w:rFonts w:ascii="等线" w:hAnsi="等线" w:eastAsia="等线"/>
          <w:b w:val="0"/>
          <w:sz w:val="21"/>
          <w:highlight w:val="yellow"/>
        </w:rPr>
        <w:t>[X]</w:t>
      </w:r>
      <w:r>
        <w:rPr>
          <w:rFonts w:ascii="等线" w:hAnsi="等线" w:eastAsia="等线"/>
          <w:b w:val="0"/>
          <w:sz w:val="21"/>
        </w:rPr>
        <w:t>公吨二氧化碳当量，主要排放源为</w:t>
      </w:r>
      <w:r>
        <w:rPr>
          <w:rFonts w:ascii="等线" w:hAnsi="等线" w:eastAsia="等线"/>
          <w:b w:val="0"/>
          <w:sz w:val="21"/>
          <w:highlight w:val="yellow"/>
        </w:rPr>
        <w:t>[具体排放源]</w:t>
      </w:r>
      <w:r>
        <w:rPr>
          <w:rFonts w:ascii="等线" w:hAnsi="等线" w:eastAsia="等线"/>
          <w:b w:val="0"/>
          <w:sz w:val="21"/>
        </w:rPr>
        <w:t>；</w:t>
      </w:r>
      <w:r>
        <w:rPr>
          <w:rFonts w:ascii="等线" w:hAnsi="等线" w:eastAsia="等线"/>
          <w:b w:val="0"/>
          <w:sz w:val="21"/>
          <w:highlight w:val="yellow"/>
        </w:rPr>
        <w:t>[业务单位2]</w:t>
      </w:r>
      <w:r>
        <w:rPr>
          <w:rFonts w:ascii="等线" w:hAnsi="等线" w:eastAsia="等线"/>
          <w:b w:val="0"/>
          <w:sz w:val="21"/>
        </w:rPr>
        <w:t>的排放量为</w:t>
      </w:r>
      <w:r>
        <w:rPr>
          <w:rFonts w:ascii="等线" w:hAnsi="等线" w:eastAsia="等线"/>
          <w:b w:val="0"/>
          <w:sz w:val="21"/>
          <w:highlight w:val="yellow"/>
        </w:rPr>
        <w:t>[Y]</w:t>
      </w:r>
      <w:r>
        <w:rPr>
          <w:rFonts w:ascii="等线" w:hAnsi="等线" w:eastAsia="等线"/>
          <w:b w:val="0"/>
          <w:sz w:val="21"/>
        </w:rPr>
        <w:t>公吨二氧化碳当量，排放源为</w:t>
      </w:r>
      <w:r>
        <w:rPr>
          <w:rFonts w:ascii="等线" w:hAnsi="等线" w:eastAsia="等线"/>
          <w:b w:val="0"/>
          <w:sz w:val="21"/>
          <w:highlight w:val="yellow"/>
        </w:rPr>
        <w:t>[具体排放源]</w:t>
      </w:r>
      <w:r>
        <w:rPr>
          <w:rFonts w:ascii="等线" w:hAnsi="等线" w:eastAsia="等线"/>
          <w:b w:val="0"/>
          <w:sz w:val="21"/>
        </w:rPr>
        <w:t>等。</w:t>
      </w:r>
    </w:p>
    <w:p>
      <w:pPr>
        <w:jc w:val="left"/>
      </w:pPr>
      <w:r>
        <w:rPr>
          <w:rFonts w:ascii="等线" w:hAnsi="等线" w:eastAsia="等线"/>
          <w:b w:val="0"/>
          <w:sz w:val="21"/>
        </w:rPr>
        <w:t>3. 按国家或地区分类</w:t>
      </w:r>
    </w:p>
    <w:p>
      <w:pPr>
        <w:jc w:val="left"/>
      </w:pPr>
      <w:r>
        <w:rPr>
          <w:rFonts w:ascii="等线" w:hAnsi="等线" w:eastAsia="等线"/>
          <w:b w:val="0"/>
          <w:sz w:val="21"/>
        </w:rPr>
        <w:t>4. 在</w:t>
      </w:r>
      <w:r>
        <w:rPr>
          <w:rFonts w:ascii="等线" w:hAnsi="等线" w:eastAsia="等线"/>
          <w:b w:val="0"/>
          <w:sz w:val="21"/>
          <w:highlight w:val="yellow"/>
        </w:rPr>
        <w:t>[国家/地区1]</w:t>
      </w:r>
      <w:r>
        <w:rPr>
          <w:rFonts w:ascii="等线" w:hAnsi="等线" w:eastAsia="等线"/>
          <w:b w:val="0"/>
          <w:sz w:val="21"/>
        </w:rPr>
        <w:t>的业务温室气体排放量为</w:t>
      </w:r>
      <w:r>
        <w:rPr>
          <w:rFonts w:ascii="等线" w:hAnsi="等线" w:eastAsia="等线"/>
          <w:b w:val="0"/>
          <w:sz w:val="21"/>
          <w:highlight w:val="yellow"/>
        </w:rPr>
        <w:t>[X]</w:t>
      </w:r>
      <w:r>
        <w:rPr>
          <w:rFonts w:ascii="等线" w:hAnsi="等线" w:eastAsia="等线"/>
          <w:b w:val="0"/>
          <w:sz w:val="21"/>
        </w:rPr>
        <w:t>公吨二氧化碳当量，在</w:t>
      </w:r>
      <w:r>
        <w:rPr>
          <w:rFonts w:ascii="等线" w:hAnsi="等线" w:eastAsia="等线"/>
          <w:b w:val="0"/>
          <w:sz w:val="21"/>
          <w:highlight w:val="yellow"/>
        </w:rPr>
        <w:t>[国家/地区2]</w:t>
      </w:r>
      <w:r>
        <w:rPr>
          <w:rFonts w:ascii="等线" w:hAnsi="等线" w:eastAsia="等线"/>
          <w:b w:val="0"/>
          <w:sz w:val="21"/>
        </w:rPr>
        <w:t>的排放量为</w:t>
      </w:r>
      <w:r>
        <w:rPr>
          <w:rFonts w:ascii="等线" w:hAnsi="等线" w:eastAsia="等线"/>
          <w:b w:val="0"/>
          <w:sz w:val="21"/>
          <w:highlight w:val="yellow"/>
        </w:rPr>
        <w:t>[Y]</w:t>
      </w:r>
      <w:r>
        <w:rPr>
          <w:rFonts w:ascii="等线" w:hAnsi="等线" w:eastAsia="等线"/>
          <w:b w:val="0"/>
          <w:sz w:val="21"/>
        </w:rPr>
        <w:t>公吨二氧化碳当量等。</w:t>
      </w:r>
    </w:p>
    <w:p>
      <w:pPr>
        <w:jc w:val="left"/>
      </w:pPr>
      <w:r>
        <w:rPr>
          <w:rFonts w:ascii="等线" w:hAnsi="等线" w:eastAsia="等线"/>
          <w:b w:val="0"/>
          <w:sz w:val="21"/>
        </w:rPr>
        <w:t>5. 按来源类型分类</w:t>
      </w:r>
    </w:p>
    <w:p>
      <w:pPr>
        <w:jc w:val="left"/>
      </w:pPr>
      <w:r>
        <w:rPr>
          <w:rFonts w:ascii="等线" w:hAnsi="等线" w:eastAsia="等线"/>
          <w:b w:val="0"/>
          <w:sz w:val="21"/>
        </w:rPr>
        <w:t>6. 燃烧相关的温室气体排放为</w:t>
      </w:r>
      <w:r>
        <w:rPr>
          <w:rFonts w:ascii="等线" w:hAnsi="等线" w:eastAsia="等线"/>
          <w:b w:val="0"/>
          <w:sz w:val="21"/>
          <w:highlight w:val="yellow"/>
        </w:rPr>
        <w:t>[X]</w:t>
      </w:r>
      <w:r>
        <w:rPr>
          <w:rFonts w:ascii="等线" w:hAnsi="等线" w:eastAsia="等线"/>
          <w:b w:val="0"/>
          <w:sz w:val="21"/>
        </w:rPr>
        <w:t>公吨二氧化碳当量，加工相关为</w:t>
      </w:r>
      <w:r>
        <w:rPr>
          <w:rFonts w:ascii="等线" w:hAnsi="等线" w:eastAsia="等线"/>
          <w:b w:val="0"/>
          <w:sz w:val="21"/>
          <w:highlight w:val="yellow"/>
        </w:rPr>
        <w:t>[Y]</w:t>
      </w:r>
      <w:r>
        <w:rPr>
          <w:rFonts w:ascii="等线" w:hAnsi="等线" w:eastAsia="等线"/>
          <w:b w:val="0"/>
          <w:sz w:val="21"/>
        </w:rPr>
        <w:t>公吨二氧化碳当量，电力相关为</w:t>
      </w:r>
      <w:r>
        <w:rPr>
          <w:rFonts w:ascii="等线" w:hAnsi="等线" w:eastAsia="等线"/>
          <w:b w:val="0"/>
          <w:sz w:val="21"/>
          <w:highlight w:val="yellow"/>
        </w:rPr>
        <w:t>[Z]</w:t>
      </w:r>
      <w:r>
        <w:rPr>
          <w:rFonts w:ascii="等线" w:hAnsi="等线" w:eastAsia="等线"/>
          <w:b w:val="0"/>
          <w:sz w:val="21"/>
        </w:rPr>
        <w:t>公吨二氧化碳当量等。</w:t>
      </w:r>
    </w:p>
    <w:p>
      <w:pPr>
        <w:jc w:val="left"/>
      </w:pPr>
      <w:r>
        <w:rPr>
          <w:rFonts w:ascii="等线" w:hAnsi="等线" w:eastAsia="等线"/>
          <w:b w:val="0"/>
          <w:sz w:val="21"/>
        </w:rPr>
        <w:t>四、气候相关风险与机遇相关资产或业务活动情况</w:t>
      </w:r>
    </w:p>
    <w:p>
      <w:pPr>
        <w:jc w:val="left"/>
      </w:pPr>
      <w:r>
        <w:rPr>
          <w:rFonts w:ascii="等线" w:hAnsi="等线" w:eastAsia="等线"/>
          <w:b w:val="0"/>
          <w:sz w:val="21"/>
        </w:rPr>
        <w:t>1. 气候相关转型风险</w:t>
      </w:r>
    </w:p>
    <w:p>
      <w:pPr>
        <w:jc w:val="left"/>
      </w:pPr>
      <w:r>
        <w:rPr>
          <w:rFonts w:ascii="等线" w:hAnsi="等线" w:eastAsia="等线"/>
          <w:b w:val="0"/>
          <w:sz w:val="21"/>
        </w:rPr>
        <w:t>2. 容易受气候相关转型风险影响的资产或业务活动金额为</w:t>
      </w:r>
      <w:r>
        <w:rPr>
          <w:rFonts w:ascii="等线" w:hAnsi="等线" w:eastAsia="等线"/>
          <w:b w:val="0"/>
          <w:sz w:val="21"/>
          <w:highlight w:val="yellow"/>
        </w:rPr>
        <w:t>[X]</w:t>
      </w:r>
      <w:r>
        <w:rPr>
          <w:rFonts w:ascii="等线" w:hAnsi="等线" w:eastAsia="等线"/>
          <w:b w:val="0"/>
          <w:sz w:val="21"/>
        </w:rPr>
        <w:t>元，占总资产或总业务活动的</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气候相关物理风险</w:t>
      </w:r>
    </w:p>
    <w:p>
      <w:pPr>
        <w:jc w:val="left"/>
      </w:pPr>
      <w:r>
        <w:rPr>
          <w:rFonts w:ascii="等线" w:hAnsi="等线" w:eastAsia="等线"/>
          <w:b w:val="0"/>
          <w:sz w:val="21"/>
        </w:rPr>
        <w:t>4. 容易受气候相关物理风险影响的资产或业务活动金额为</w:t>
      </w:r>
      <w:r>
        <w:rPr>
          <w:rFonts w:ascii="等线" w:hAnsi="等线" w:eastAsia="等线"/>
          <w:b w:val="0"/>
          <w:sz w:val="21"/>
          <w:highlight w:val="yellow"/>
        </w:rPr>
        <w:t>[Y]</w:t>
      </w:r>
      <w:r>
        <w:rPr>
          <w:rFonts w:ascii="等线" w:hAnsi="等线" w:eastAsia="等线"/>
          <w:b w:val="0"/>
          <w:sz w:val="21"/>
        </w:rPr>
        <w:t>元，占比为</w:t>
      </w:r>
      <w:r>
        <w:rPr>
          <w:rFonts w:ascii="等线" w:hAnsi="等线" w:eastAsia="等线"/>
          <w:b w:val="0"/>
          <w:sz w:val="21"/>
          <w:highlight w:val="yellow"/>
        </w:rPr>
        <w:t>[Y%]</w:t>
      </w:r>
      <w:r>
        <w:rPr>
          <w:rFonts w:ascii="等线" w:hAnsi="等线" w:eastAsia="等线"/>
          <w:b w:val="0"/>
          <w:sz w:val="21"/>
        </w:rPr>
        <w:t>。</w:t>
      </w:r>
    </w:p>
    <w:p>
      <w:pPr>
        <w:jc w:val="left"/>
      </w:pPr>
      <w:r>
        <w:rPr>
          <w:rFonts w:ascii="等线" w:hAnsi="等线" w:eastAsia="等线"/>
          <w:b w:val="0"/>
          <w:sz w:val="21"/>
        </w:rPr>
        <w:t>5. 气候相关机遇</w:t>
      </w:r>
    </w:p>
    <w:p>
      <w:pPr>
        <w:jc w:val="left"/>
      </w:pPr>
      <w:r>
        <w:rPr>
          <w:rFonts w:ascii="等线" w:hAnsi="等线" w:eastAsia="等线"/>
          <w:b w:val="0"/>
          <w:sz w:val="21"/>
        </w:rPr>
        <w:t>6. 涉及气候相关机遇的资产或业务活动金额为</w:t>
      </w:r>
      <w:r>
        <w:rPr>
          <w:rFonts w:ascii="等线" w:hAnsi="等线" w:eastAsia="等线"/>
          <w:b w:val="0"/>
          <w:sz w:val="21"/>
          <w:highlight w:val="yellow"/>
        </w:rPr>
        <w:t>[Z]</w:t>
      </w:r>
      <w:r>
        <w:rPr>
          <w:rFonts w:ascii="等线" w:hAnsi="等线" w:eastAsia="等线"/>
          <w:b w:val="0"/>
          <w:sz w:val="21"/>
        </w:rPr>
        <w:t>元，占比为</w:t>
      </w:r>
      <w:r>
        <w:rPr>
          <w:rFonts w:ascii="等线" w:hAnsi="等线" w:eastAsia="等线"/>
          <w:b w:val="0"/>
          <w:sz w:val="21"/>
          <w:highlight w:val="yellow"/>
        </w:rPr>
        <w:t>[Z%]</w:t>
      </w:r>
      <w:r>
        <w:rPr>
          <w:rFonts w:ascii="等线" w:hAnsi="等线" w:eastAsia="等线"/>
          <w:b w:val="0"/>
          <w:sz w:val="21"/>
        </w:rPr>
        <w:t>。</w:t>
      </w:r>
    </w:p>
    <w:p>
      <w:pPr>
        <w:jc w:val="left"/>
      </w:pPr>
      <w:r>
        <w:rPr>
          <w:rFonts w:ascii="等线" w:hAnsi="等线" w:eastAsia="等线"/>
          <w:b w:val="0"/>
          <w:sz w:val="21"/>
        </w:rPr>
        <w:t>五、气候相关资本开支、融资或投资情况</w:t>
      </w:r>
    </w:p>
    <w:p>
      <w:pPr>
        <w:jc w:val="left"/>
      </w:pPr>
      <w:r>
        <w:rPr>
          <w:rFonts w:ascii="等线" w:hAnsi="等线" w:eastAsia="等线"/>
          <w:b w:val="0"/>
          <w:sz w:val="21"/>
        </w:rPr>
        <w:t>1. 用于气候相关风险和机遇的资本开支、融资或投资的金额为</w:t>
      </w:r>
      <w:r>
        <w:rPr>
          <w:rFonts w:ascii="等线" w:hAnsi="等线" w:eastAsia="等线"/>
          <w:b w:val="0"/>
          <w:sz w:val="21"/>
          <w:highlight w:val="yellow"/>
        </w:rPr>
        <w:t>[X]</w:t>
      </w:r>
      <w:r>
        <w:rPr>
          <w:rFonts w:ascii="等线" w:hAnsi="等线" w:eastAsia="等线"/>
          <w:b w:val="0"/>
          <w:sz w:val="21"/>
        </w:rPr>
        <w:t>元。</w:t>
      </w:r>
    </w:p>
    <w:p>
      <w:pPr>
        <w:jc w:val="left"/>
      </w:pPr>
      <w:r>
        <w:rPr>
          <w:rFonts w:ascii="等线" w:hAnsi="等线" w:eastAsia="等线"/>
          <w:b w:val="0"/>
          <w:sz w:val="21"/>
        </w:rPr>
        <w:t>六、碳定价相关情况</w:t>
      </w:r>
    </w:p>
    <w:p>
      <w:pPr>
        <w:jc w:val="left"/>
      </w:pPr>
      <w:r>
        <w:rPr>
          <w:rFonts w:ascii="等线" w:hAnsi="等线" w:eastAsia="等线"/>
          <w:b w:val="0"/>
          <w:sz w:val="21"/>
        </w:rPr>
        <w:t>1. 碳定价应用情况</w:t>
      </w:r>
    </w:p>
    <w:p>
      <w:pPr>
        <w:jc w:val="left"/>
      </w:pPr>
      <w:r>
        <w:rPr>
          <w:rFonts w:ascii="等线" w:hAnsi="等线" w:eastAsia="等线"/>
          <w:b w:val="0"/>
          <w:sz w:val="21"/>
        </w:rPr>
        <w:t>2. 在决策中，本银行通过</w:t>
      </w:r>
      <w:r>
        <w:rPr>
          <w:rFonts w:ascii="等线" w:hAnsi="等线" w:eastAsia="等线"/>
          <w:b w:val="0"/>
          <w:sz w:val="21"/>
          <w:highlight w:val="yellow"/>
        </w:rPr>
        <w:t>[具体方式，如在投资决策时考虑项目的温室气体排放成本等]</w:t>
      </w:r>
      <w:r>
        <w:rPr>
          <w:rFonts w:ascii="等线" w:hAnsi="等线" w:eastAsia="等线"/>
          <w:b w:val="0"/>
          <w:sz w:val="21"/>
        </w:rPr>
        <w:t>应用碳定价。用于评估其温室气体排放成本的每公吨温室气体排放量定价为</w:t>
      </w:r>
      <w:r>
        <w:rPr>
          <w:rFonts w:ascii="等线" w:hAnsi="等线" w:eastAsia="等线"/>
          <w:b w:val="0"/>
          <w:sz w:val="21"/>
          <w:highlight w:val="yellow"/>
        </w:rPr>
        <w:t>[X]</w:t>
      </w:r>
      <w:r>
        <w:rPr>
          <w:rFonts w:ascii="等线" w:hAnsi="等线" w:eastAsia="等线"/>
          <w:b w:val="0"/>
          <w:sz w:val="21"/>
        </w:rPr>
        <w:t>元。</w:t>
      </w:r>
    </w:p>
    <w:p>
      <w:pPr>
        <w:jc w:val="left"/>
      </w:pPr>
      <w:r>
        <w:rPr>
          <w:rFonts w:ascii="等线" w:hAnsi="等线" w:eastAsia="等线"/>
          <w:b w:val="0"/>
          <w:sz w:val="21"/>
        </w:rPr>
        <w:t>3. 薪酬政策中的气候相关考虑因素</w:t>
      </w:r>
    </w:p>
    <w:p>
      <w:pPr>
        <w:jc w:val="left"/>
      </w:pPr>
      <w:r>
        <w:rPr>
          <w:rFonts w:ascii="等线" w:hAnsi="等线" w:eastAsia="等线"/>
          <w:b w:val="0"/>
          <w:sz w:val="21"/>
        </w:rPr>
        <w:t>4. 本银行将气候相关考虑因素纳入薪酬政策，具体表现为</w:t>
      </w:r>
      <w:r>
        <w:rPr>
          <w:rFonts w:ascii="等线" w:hAnsi="等线" w:eastAsia="等线"/>
          <w:b w:val="0"/>
          <w:sz w:val="21"/>
          <w:highlight w:val="yellow"/>
        </w:rPr>
        <w:t>[描述如何纳入，如对在气候风险管理方面表现优秀的员工给予奖励等]</w:t>
      </w:r>
      <w:r>
        <w:rPr>
          <w:rFonts w:ascii="等线" w:hAnsi="等线" w:eastAsia="等线"/>
          <w:b w:val="0"/>
          <w:sz w:val="21"/>
        </w:rPr>
        <w:t>。</w:t>
      </w:r>
    </w:p>
    <w:p>
      <w:pPr>
        <w:jc w:val="left"/>
      </w:pPr>
      <w:r>
        <w:rPr>
          <w:rFonts w:ascii="等线" w:hAnsi="等线" w:eastAsia="等线"/>
          <w:b w:val="0"/>
          <w:sz w:val="21"/>
        </w:rPr>
        <w:t>七、行业指标（如有）</w:t>
      </w:r>
    </w:p>
    <w:p>
      <w:pPr>
        <w:jc w:val="left"/>
      </w:pPr>
      <w:r>
        <w:rPr>
          <w:rFonts w:ascii="等线" w:hAnsi="等线" w:eastAsia="等线"/>
          <w:b w:val="0"/>
          <w:sz w:val="21"/>
        </w:rPr>
        <w:t>1. 参考《〈国际财务报告可持续披露准则S2号〉行业披露指南》等，本银行相关的行业指标情况为</w:t>
      </w:r>
      <w:r>
        <w:rPr>
          <w:rFonts w:ascii="等线" w:hAnsi="等线" w:eastAsia="等线"/>
          <w:b w:val="0"/>
          <w:sz w:val="21"/>
          <w:highlight w:val="yellow"/>
        </w:rPr>
        <w:t>[列出适用的行业指标及数值]</w:t>
      </w:r>
      <w:r>
        <w:rPr>
          <w:rFonts w:ascii="等线" w:hAnsi="等线" w:eastAsia="等线"/>
          <w:b w:val="0"/>
          <w:sz w:val="21"/>
        </w:rPr>
        <w:t>。</w:t>
      </w:r>
    </w:p>
    <w:p>
      <w:pPr>
        <w:jc w:val="left"/>
      </w:pPr>
      <w:r>
        <w:rPr>
          <w:rFonts w:ascii="等线" w:hAnsi="等线" w:eastAsia="等线"/>
          <w:b w:val="0"/>
          <w:sz w:val="21"/>
        </w:rPr>
        <w:t>八、气候相关目标及绩效</w:t>
      </w:r>
    </w:p>
    <w:p>
      <w:pPr>
        <w:jc w:val="left"/>
      </w:pPr>
      <w:r>
        <w:rPr>
          <w:rFonts w:ascii="等线" w:hAnsi="等线" w:eastAsia="等线"/>
          <w:b w:val="0"/>
          <w:sz w:val="21"/>
        </w:rPr>
        <w:t>1. 目标设定</w:t>
      </w:r>
    </w:p>
    <w:p>
      <w:pPr>
        <w:jc w:val="left"/>
      </w:pPr>
      <w:r>
        <w:rPr>
          <w:rFonts w:ascii="等线" w:hAnsi="等线" w:eastAsia="等线"/>
          <w:b w:val="0"/>
          <w:sz w:val="21"/>
        </w:rPr>
        <w:t>2. 本银行设定的与气候相关的定性目标为</w:t>
      </w:r>
      <w:r>
        <w:rPr>
          <w:rFonts w:ascii="等线" w:hAnsi="等线" w:eastAsia="等线"/>
          <w:b w:val="0"/>
          <w:sz w:val="21"/>
          <w:highlight w:val="yellow"/>
        </w:rPr>
        <w:t>[列出定性目标，如提高应对气候风险的管理能力等]</w:t>
      </w:r>
      <w:r>
        <w:rPr>
          <w:rFonts w:ascii="等线" w:hAnsi="等线" w:eastAsia="等线"/>
          <w:b w:val="0"/>
          <w:sz w:val="21"/>
        </w:rPr>
        <w:t>，量化目标包括在</w:t>
      </w:r>
      <w:r>
        <w:rPr>
          <w:rFonts w:ascii="等线" w:hAnsi="等线" w:eastAsia="等线"/>
          <w:b w:val="0"/>
          <w:sz w:val="21"/>
          <w:highlight w:val="yellow"/>
        </w:rPr>
        <w:t>[适用期间，如2025 - 2030年]</w:t>
      </w:r>
      <w:r>
        <w:rPr>
          <w:rFonts w:ascii="等线" w:hAnsi="等线" w:eastAsia="等线"/>
          <w:b w:val="0"/>
          <w:sz w:val="21"/>
        </w:rPr>
        <w:t>将范围1温室气体排放量降低</w:t>
      </w:r>
      <w:r>
        <w:rPr>
          <w:rFonts w:ascii="等线" w:hAnsi="等线" w:eastAsia="等线"/>
          <w:b w:val="0"/>
          <w:sz w:val="21"/>
          <w:highlight w:val="yellow"/>
        </w:rPr>
        <w:t>[X%]</w:t>
      </w:r>
      <w:r>
        <w:rPr>
          <w:rFonts w:ascii="等线" w:hAnsi="等线" w:eastAsia="等线"/>
          <w:b w:val="0"/>
          <w:sz w:val="21"/>
        </w:rPr>
        <w:t>（这是一个绝对目标）。设定该目标的指标为</w:t>
      </w:r>
      <w:r>
        <w:rPr>
          <w:rFonts w:ascii="等线" w:hAnsi="等线" w:eastAsia="等线"/>
          <w:b w:val="0"/>
          <w:sz w:val="21"/>
          <w:highlight w:val="yellow"/>
        </w:rPr>
        <w:t>[具体指标，如能源消耗降低指标等]</w:t>
      </w:r>
      <w:r>
        <w:rPr>
          <w:rFonts w:ascii="等线" w:hAnsi="等线" w:eastAsia="等线"/>
          <w:b w:val="0"/>
          <w:sz w:val="21"/>
        </w:rPr>
        <w:t>，目标目的为减缓气候变化，适用范围为整个集团，衡量进度的基准期间为</w:t>
      </w:r>
      <w:r>
        <w:rPr>
          <w:rFonts w:ascii="等线" w:hAnsi="等线" w:eastAsia="等线"/>
          <w:b w:val="0"/>
          <w:sz w:val="21"/>
          <w:highlight w:val="yellow"/>
        </w:rPr>
        <w:t>[具体基准期间]</w:t>
      </w:r>
      <w:r>
        <w:rPr>
          <w:rFonts w:ascii="等线" w:hAnsi="等线" w:eastAsia="等线"/>
          <w:b w:val="0"/>
          <w:sz w:val="21"/>
        </w:rPr>
        <w:t>，阶段性目标为在</w:t>
      </w:r>
      <w:r>
        <w:rPr>
          <w:rFonts w:ascii="等线" w:hAnsi="等线" w:eastAsia="等线"/>
          <w:b w:val="0"/>
          <w:sz w:val="21"/>
          <w:highlight w:val="yellow"/>
        </w:rPr>
        <w:t>[具体年份]</w:t>
      </w:r>
      <w:r>
        <w:rPr>
          <w:rFonts w:ascii="等线" w:hAnsi="等线" w:eastAsia="等线"/>
          <w:b w:val="0"/>
          <w:sz w:val="21"/>
        </w:rPr>
        <w:t>降低</w:t>
      </w:r>
      <w:r>
        <w:rPr>
          <w:rFonts w:ascii="等线" w:hAnsi="等线" w:eastAsia="等线"/>
          <w:b w:val="0"/>
          <w:sz w:val="21"/>
          <w:highlight w:val="yellow"/>
        </w:rPr>
        <w:t>[X%]</w:t>
      </w:r>
      <w:r>
        <w:rPr>
          <w:rFonts w:ascii="等线" w:hAnsi="等线" w:eastAsia="等线"/>
          <w:b w:val="0"/>
          <w:sz w:val="21"/>
        </w:rPr>
        <w:t>。最新气候变化国际协议（如《巴黎协定》）为设定目标提供了参考依据，例如按照全球减排趋势确定本银行的减排目标。</w:t>
      </w:r>
    </w:p>
    <w:p>
      <w:pPr>
        <w:jc w:val="left"/>
      </w:pPr>
      <w:r>
        <w:rPr>
          <w:rFonts w:ascii="等线" w:hAnsi="等线" w:eastAsia="等线"/>
          <w:b w:val="0"/>
          <w:sz w:val="21"/>
        </w:rPr>
        <w:t>3. 目标设定及审核方法</w:t>
      </w:r>
    </w:p>
    <w:p>
      <w:pPr>
        <w:jc w:val="left"/>
      </w:pPr>
      <w:r>
        <w:rPr>
          <w:rFonts w:ascii="等线" w:hAnsi="等线" w:eastAsia="等线"/>
          <w:b w:val="0"/>
          <w:sz w:val="21"/>
        </w:rPr>
        <w:t>4. 目标本身及设定目标的方法经</w:t>
      </w:r>
      <w:r>
        <w:rPr>
          <w:rFonts w:ascii="等线" w:hAnsi="等线" w:eastAsia="等线"/>
          <w:b w:val="0"/>
          <w:sz w:val="21"/>
          <w:highlight w:val="yellow"/>
        </w:rPr>
        <w:t>[第三方机构名称]</w:t>
      </w:r>
      <w:r>
        <w:rPr>
          <w:rFonts w:ascii="等线" w:hAnsi="等线" w:eastAsia="等线"/>
          <w:b w:val="0"/>
          <w:sz w:val="21"/>
        </w:rPr>
        <w:t>验证。审核目标的程序包括</w:t>
      </w:r>
      <w:r>
        <w:rPr>
          <w:rFonts w:ascii="等线" w:hAnsi="等线" w:eastAsia="等线"/>
          <w:b w:val="0"/>
          <w:sz w:val="21"/>
          <w:highlight w:val="yellow"/>
        </w:rPr>
        <w:t>[列出审核程序，如定期内部审查与外部机构评估相结合等]</w:t>
      </w:r>
      <w:r>
        <w:rPr>
          <w:rFonts w:ascii="等线" w:hAnsi="等线" w:eastAsia="等线"/>
          <w:b w:val="0"/>
          <w:sz w:val="21"/>
        </w:rPr>
        <w:t>，用于监察达标进度的指标为</w:t>
      </w:r>
      <w:r>
        <w:rPr>
          <w:rFonts w:ascii="等线" w:hAnsi="等线" w:eastAsia="等线"/>
          <w:b w:val="0"/>
          <w:sz w:val="21"/>
          <w:highlight w:val="yellow"/>
        </w:rPr>
        <w:t>[具体指标，如温室气体排放监测数据等]</w:t>
      </w:r>
      <w:r>
        <w:rPr>
          <w:rFonts w:ascii="等线" w:hAnsi="等线" w:eastAsia="等线"/>
          <w:b w:val="0"/>
          <w:sz w:val="21"/>
        </w:rPr>
        <w:t>。</w:t>
      </w:r>
    </w:p>
    <w:p>
      <w:pPr>
        <w:jc w:val="left"/>
      </w:pPr>
      <w:r>
        <w:rPr>
          <w:rFonts w:ascii="等线" w:hAnsi="等线" w:eastAsia="等线"/>
          <w:b w:val="0"/>
          <w:sz w:val="21"/>
        </w:rPr>
        <w:t>5. 目标绩效</w:t>
      </w:r>
    </w:p>
    <w:p>
      <w:pPr>
        <w:jc w:val="left"/>
      </w:pPr>
      <w:r>
        <w:rPr>
          <w:rFonts w:ascii="等线" w:hAnsi="等线" w:eastAsia="等线"/>
          <w:b w:val="0"/>
          <w:sz w:val="21"/>
        </w:rPr>
        <w:t>6. 关于上述温室气体排放目标，截至报告期，已实现的减排量为</w:t>
      </w:r>
      <w:r>
        <w:rPr>
          <w:rFonts w:ascii="等线" w:hAnsi="等线" w:eastAsia="等线"/>
          <w:b w:val="0"/>
          <w:sz w:val="21"/>
          <w:highlight w:val="yellow"/>
        </w:rPr>
        <w:t>[X]</w:t>
      </w:r>
      <w:r>
        <w:rPr>
          <w:rFonts w:ascii="等线" w:hAnsi="等线" w:eastAsia="等线"/>
          <w:b w:val="0"/>
          <w:sz w:val="21"/>
        </w:rPr>
        <w:t>公吨二氧化碳当量，呈现出</w:t>
      </w:r>
      <w:r>
        <w:rPr>
          <w:rFonts w:ascii="等线" w:hAnsi="等线" w:eastAsia="等线"/>
          <w:b w:val="0"/>
          <w:sz w:val="21"/>
          <w:highlight w:val="yellow"/>
        </w:rPr>
        <w:t>[上升/下降]</w:t>
      </w:r>
      <w:r>
        <w:rPr>
          <w:rFonts w:ascii="等线" w:hAnsi="等线" w:eastAsia="等线"/>
          <w:b w:val="0"/>
          <w:sz w:val="21"/>
        </w:rPr>
        <w:t>的趋势，主要得益于</w:t>
      </w:r>
      <w:r>
        <w:rPr>
          <w:rFonts w:ascii="等线" w:hAnsi="等线" w:eastAsia="等线"/>
          <w:b w:val="0"/>
          <w:sz w:val="21"/>
          <w:highlight w:val="yellow"/>
        </w:rPr>
        <w:t>[列出实现减排的措施，如能源效率提升措施等]</w:t>
      </w:r>
      <w:r>
        <w:rPr>
          <w:rFonts w:ascii="等线" w:hAnsi="等线" w:eastAsia="等线"/>
          <w:b w:val="0"/>
          <w:sz w:val="21"/>
        </w:rPr>
        <w:t>。</w:t>
      </w:r>
    </w:p>
    <w:p>
      <w:pPr>
        <w:jc w:val="left"/>
      </w:pPr>
      <w:r>
        <w:rPr>
          <w:rFonts w:ascii="等线" w:hAnsi="等线" w:eastAsia="等线"/>
          <w:b w:val="0"/>
          <w:sz w:val="21"/>
        </w:rPr>
        <w:t>7. 温室气体排放目标的具体情况</w:t>
      </w:r>
    </w:p>
    <w:p>
      <w:pPr>
        <w:jc w:val="left"/>
      </w:pPr>
      <w:r>
        <w:rPr>
          <w:rFonts w:ascii="等线" w:hAnsi="等线" w:eastAsia="等线"/>
          <w:b w:val="0"/>
          <w:sz w:val="21"/>
        </w:rPr>
        <w:t>8. 该目标涵盖的温室气体为二氧化碳、甲烷等。目标涵盖范围1温室气体排放，是温室气体排放总量目标，不是采用行业脱碳方法得出的。本银行无使用碳信用抵销温室气体排放以实现该目标的计划。</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温室气体排放总量</w:t>
            </w:r>
          </w:p>
        </w:tc>
        <w:tc>
          <w:tcPr>
            <w:tcW w:type="dxa" w:w="3213"/>
          </w:tcPr>
          <w:p>
            <w:r>
              <w:rPr>
                <w:sz w:val="21"/>
              </w:rPr>
              <w:t>吨CO2当量</w:t>
            </w:r>
          </w:p>
        </w:tc>
        <w:tc>
          <w:tcPr>
            <w:tcW w:type="dxa" w:w="3213"/>
          </w:tcPr>
          <w:p>
            <w:r>
              <w:rPr>
                <w:sz w:val="21"/>
              </w:rPr>
            </w:r>
          </w:p>
        </w:tc>
      </w:tr>
      <w:tr>
        <w:tc>
          <w:tcPr>
            <w:tcW w:type="dxa" w:w="3213"/>
          </w:tcPr>
          <w:p>
            <w:r>
              <w:rPr>
                <w:sz w:val="21"/>
              </w:rPr>
              <w:t>温室气体排放量：范围1</w:t>
            </w:r>
          </w:p>
        </w:tc>
        <w:tc>
          <w:tcPr>
            <w:tcW w:type="dxa" w:w="3213"/>
          </w:tcPr>
          <w:p>
            <w:r>
              <w:rPr>
                <w:sz w:val="21"/>
              </w:rPr>
              <w:t>吨CO2当量</w:t>
            </w:r>
          </w:p>
        </w:tc>
        <w:tc>
          <w:tcPr>
            <w:tcW w:type="dxa" w:w="3213"/>
          </w:tcPr>
          <w:p>
            <w:r>
              <w:rPr>
                <w:sz w:val="21"/>
              </w:rPr>
            </w:r>
          </w:p>
        </w:tc>
      </w:tr>
      <w:tr>
        <w:tc>
          <w:tcPr>
            <w:tcW w:type="dxa" w:w="3213"/>
          </w:tcPr>
          <w:p>
            <w:r>
              <w:rPr>
                <w:sz w:val="21"/>
              </w:rPr>
              <w:t>温室气体排放量：范围2</w:t>
            </w:r>
          </w:p>
        </w:tc>
        <w:tc>
          <w:tcPr>
            <w:tcW w:type="dxa" w:w="3213"/>
          </w:tcPr>
          <w:p>
            <w:r>
              <w:rPr>
                <w:sz w:val="21"/>
              </w:rPr>
              <w:t>吨CO2当量</w:t>
            </w:r>
          </w:p>
        </w:tc>
        <w:tc>
          <w:tcPr>
            <w:tcW w:type="dxa" w:w="3213"/>
          </w:tcPr>
          <w:p>
            <w:r>
              <w:rPr>
                <w:sz w:val="21"/>
              </w:rPr>
            </w:r>
          </w:p>
        </w:tc>
      </w:tr>
      <w:tr>
        <w:tc>
          <w:tcPr>
            <w:tcW w:type="dxa" w:w="3213"/>
          </w:tcPr>
          <w:p>
            <w:r>
              <w:rPr>
                <w:sz w:val="21"/>
              </w:rPr>
              <w:t>温室气体排放量：范围3</w:t>
            </w:r>
          </w:p>
        </w:tc>
        <w:tc>
          <w:tcPr>
            <w:tcW w:type="dxa" w:w="3213"/>
          </w:tcPr>
          <w:p>
            <w:r>
              <w:rPr>
                <w:sz w:val="21"/>
              </w:rPr>
              <w:t>吨CO2当量</w:t>
            </w:r>
          </w:p>
        </w:tc>
        <w:tc>
          <w:tcPr>
            <w:tcW w:type="dxa" w:w="3213"/>
          </w:tcPr>
          <w:p>
            <w:r>
              <w:rPr>
                <w:sz w:val="21"/>
              </w:rPr>
            </w:r>
          </w:p>
        </w:tc>
      </w:tr>
      <w:tr>
        <w:tc>
          <w:tcPr>
            <w:tcW w:type="dxa" w:w="3213"/>
          </w:tcPr>
          <w:p>
            <w:r>
              <w:rPr>
                <w:sz w:val="21"/>
              </w:rPr>
              <w:t>使用的碳信用额度的数量</w:t>
            </w:r>
          </w:p>
        </w:tc>
        <w:tc>
          <w:tcPr>
            <w:tcW w:type="dxa" w:w="3213"/>
          </w:tcPr>
          <w:p>
            <w:r>
              <w:rPr>
                <w:sz w:val="21"/>
              </w:rPr>
              <w:t>吨CO2当量</w:t>
            </w:r>
          </w:p>
        </w:tc>
        <w:tc>
          <w:tcPr>
            <w:tcW w:type="dxa" w:w="3213"/>
          </w:tcPr>
          <w:p>
            <w:r>
              <w:rPr>
                <w:sz w:val="21"/>
              </w:rPr>
            </w:r>
          </w:p>
        </w:tc>
      </w:tr>
      <w:tr>
        <w:tc>
          <w:tcPr>
            <w:tcW w:type="dxa" w:w="3213"/>
          </w:tcPr>
          <w:p>
            <w:r>
              <w:rPr>
                <w:sz w:val="21"/>
              </w:rPr>
              <w:t>是否完成碳配额清缴</w:t>
            </w:r>
          </w:p>
        </w:tc>
        <w:tc>
          <w:tcPr>
            <w:tcW w:type="dxa" w:w="3213"/>
          </w:tcPr>
          <w:p>
            <w:r>
              <w:rPr>
                <w:sz w:val="21"/>
              </w:rPr>
            </w:r>
          </w:p>
        </w:tc>
        <w:tc>
          <w:tcPr>
            <w:tcW w:type="dxa" w:w="3213"/>
          </w:tcPr>
          <w:p>
            <w:r>
              <w:rPr>
                <w:sz w:val="21"/>
              </w:rPr>
            </w:r>
          </w:p>
        </w:tc>
      </w:tr>
      <w:tr>
        <w:tc>
          <w:tcPr>
            <w:tcW w:type="dxa" w:w="3213"/>
          </w:tcPr>
          <w:p>
            <w:r>
              <w:rPr>
                <w:sz w:val="21"/>
              </w:rPr>
              <w:t>温室气体范围1减排量</w:t>
            </w:r>
          </w:p>
        </w:tc>
        <w:tc>
          <w:tcPr>
            <w:tcW w:type="dxa" w:w="3213"/>
          </w:tcPr>
          <w:p>
            <w:r>
              <w:rPr>
                <w:sz w:val="21"/>
              </w:rPr>
              <w:t>吨CO2当量</w:t>
            </w:r>
          </w:p>
        </w:tc>
        <w:tc>
          <w:tcPr>
            <w:tcW w:type="dxa" w:w="3213"/>
          </w:tcPr>
          <w:p>
            <w:r>
              <w:rPr>
                <w:sz w:val="21"/>
              </w:rPr>
            </w:r>
          </w:p>
        </w:tc>
      </w:tr>
      <w:tr>
        <w:tc>
          <w:tcPr>
            <w:tcW w:type="dxa" w:w="3213"/>
          </w:tcPr>
          <w:p>
            <w:r>
              <w:rPr>
                <w:sz w:val="21"/>
              </w:rPr>
              <w:t>温室气体范围2减排量</w:t>
            </w:r>
          </w:p>
        </w:tc>
        <w:tc>
          <w:tcPr>
            <w:tcW w:type="dxa" w:w="3213"/>
          </w:tcPr>
          <w:p>
            <w:r>
              <w:rPr>
                <w:sz w:val="21"/>
              </w:rPr>
              <w:t>吨CO2当量</w:t>
            </w:r>
          </w:p>
        </w:tc>
        <w:tc>
          <w:tcPr>
            <w:tcW w:type="dxa" w:w="3213"/>
          </w:tcPr>
          <w:p>
            <w:r>
              <w:rPr>
                <w:sz w:val="21"/>
              </w:rPr>
            </w:r>
          </w:p>
        </w:tc>
      </w:tr>
      <w:tr>
        <w:tc>
          <w:tcPr>
            <w:tcW w:type="dxa" w:w="3213"/>
          </w:tcPr>
          <w:p>
            <w:r>
              <w:rPr>
                <w:sz w:val="21"/>
              </w:rPr>
              <w:t>温室气体范围3减排量</w:t>
            </w:r>
          </w:p>
        </w:tc>
        <w:tc>
          <w:tcPr>
            <w:tcW w:type="dxa" w:w="3213"/>
          </w:tcPr>
          <w:p>
            <w:r>
              <w:rPr>
                <w:sz w:val="21"/>
              </w:rPr>
              <w:t>吨CO2当量</w:t>
            </w:r>
          </w:p>
        </w:tc>
        <w:tc>
          <w:tcPr>
            <w:tcW w:type="dxa" w:w="3213"/>
          </w:tcPr>
          <w:p>
            <w:r>
              <w:rPr>
                <w:sz w:val="21"/>
              </w:rPr>
            </w:r>
          </w:p>
        </w:tc>
      </w:tr>
      <w:tr>
        <w:tc>
          <w:tcPr>
            <w:tcW w:type="dxa" w:w="3213"/>
          </w:tcPr>
          <w:p>
            <w:r>
              <w:rPr>
                <w:sz w:val="21"/>
              </w:rPr>
              <w:t>被分配的碳配额数量</w:t>
            </w:r>
          </w:p>
        </w:tc>
        <w:tc>
          <w:tcPr>
            <w:tcW w:type="dxa" w:w="3213"/>
          </w:tcPr>
          <w:p>
            <w:r>
              <w:rPr>
                <w:sz w:val="21"/>
              </w:rPr>
              <w:t>吨CO2当量</w:t>
            </w:r>
          </w:p>
        </w:tc>
        <w:tc>
          <w:tcPr>
            <w:tcW w:type="dxa" w:w="3213"/>
          </w:tcPr>
          <w:p>
            <w:r>
              <w:rPr>
                <w:sz w:val="21"/>
              </w:rPr>
            </w:r>
          </w:p>
        </w:tc>
      </w:tr>
      <w:tr>
        <w:tc>
          <w:tcPr>
            <w:tcW w:type="dxa" w:w="3213"/>
          </w:tcPr>
          <w:p>
            <w:r>
              <w:rPr>
                <w:sz w:val="21"/>
              </w:rPr>
              <w:t>碳交易中出售的碳配额数量</w:t>
            </w:r>
          </w:p>
        </w:tc>
        <w:tc>
          <w:tcPr>
            <w:tcW w:type="dxa" w:w="3213"/>
          </w:tcPr>
          <w:p>
            <w:r>
              <w:rPr>
                <w:sz w:val="21"/>
              </w:rPr>
              <w:t>吨CO2当量</w:t>
            </w:r>
          </w:p>
        </w:tc>
        <w:tc>
          <w:tcPr>
            <w:tcW w:type="dxa" w:w="3213"/>
          </w:tcPr>
          <w:p>
            <w:r>
              <w:rPr>
                <w:sz w:val="21"/>
              </w:rPr>
            </w:r>
          </w:p>
        </w:tc>
      </w:tr>
      <w:tr>
        <w:tc>
          <w:tcPr>
            <w:tcW w:type="dxa" w:w="3213"/>
          </w:tcPr>
          <w:p>
            <w:r>
              <w:rPr>
                <w:sz w:val="21"/>
              </w:rPr>
              <w:t>碳交易中购买的碳配额数量</w:t>
            </w:r>
          </w:p>
        </w:tc>
        <w:tc>
          <w:tcPr>
            <w:tcW w:type="dxa" w:w="3213"/>
          </w:tcPr>
          <w:p>
            <w:r>
              <w:rPr>
                <w:sz w:val="21"/>
              </w:rPr>
              <w:t>吨CO2当量</w:t>
            </w:r>
          </w:p>
        </w:tc>
        <w:tc>
          <w:tcPr>
            <w:tcW w:type="dxa" w:w="3213"/>
          </w:tcPr>
          <w:p>
            <w:r>
              <w:rPr>
                <w:sz w:val="21"/>
              </w:rPr>
            </w:r>
          </w:p>
        </w:tc>
      </w:tr>
      <w:tr>
        <w:tc>
          <w:tcPr>
            <w:tcW w:type="dxa" w:w="3213"/>
          </w:tcPr>
          <w:p>
            <w:r>
              <w:rPr>
                <w:sz w:val="21"/>
              </w:rPr>
              <w:t>单位营收温室气体排放总量</w:t>
            </w:r>
          </w:p>
        </w:tc>
        <w:tc>
          <w:tcPr>
            <w:tcW w:type="dxa" w:w="3213"/>
          </w:tcPr>
          <w:p>
            <w:r>
              <w:rPr>
                <w:sz w:val="21"/>
              </w:rPr>
              <w:t>吨CO2当量/万元</w:t>
            </w:r>
          </w:p>
        </w:tc>
        <w:tc>
          <w:tcPr>
            <w:tcW w:type="dxa" w:w="3213"/>
          </w:tcPr>
          <w:p>
            <w:r>
              <w:rPr>
                <w:sz w:val="21"/>
              </w:rPr>
            </w:r>
          </w:p>
        </w:tc>
      </w:tr>
    </w:tbl>
    <w:p>
      <w:pPr>
        <w:pStyle w:val="Heading3"/>
      </w:pPr>
      <w:r>
        <w:rPr>
          <w:rFonts w:ascii="等线" w:hAnsi="等线" w:eastAsia="等线"/>
          <w:color w:val="000000"/>
          <w:sz w:val="28"/>
        </w:rPr>
        <w:t>气候适应</w:t>
      </w:r>
    </w:p>
    <w:p>
      <w:pPr>
        <w:jc w:val="left"/>
      </w:pPr>
      <w:r>
        <w:rPr>
          <w:rFonts w:ascii="等线" w:hAnsi="等线" w:eastAsia="等线"/>
          <w:b w:val="0"/>
          <w:sz w:val="21"/>
        </w:rPr>
        <w:t>一、气候变化对战略和商业模式影响的评估及应对方法</w:t>
      </w:r>
    </w:p>
    <w:p>
      <w:pPr>
        <w:jc w:val="left"/>
      </w:pPr>
      <w:r>
        <w:rPr>
          <w:rFonts w:ascii="等线" w:hAnsi="等线" w:eastAsia="等线"/>
          <w:b w:val="0"/>
          <w:sz w:val="21"/>
        </w:rPr>
        <w:t>（一）影响评估</w:t>
      </w:r>
    </w:p>
    <w:p>
      <w:pPr>
        <w:jc w:val="left"/>
      </w:pPr>
      <w:r>
        <w:rPr>
          <w:rFonts w:ascii="等线" w:hAnsi="等线" w:eastAsia="等线"/>
          <w:b w:val="0"/>
          <w:sz w:val="21"/>
        </w:rPr>
        <w:t>1. 业务布局方面</w:t>
      </w:r>
    </w:p>
    <w:p>
      <w:pPr>
        <w:jc w:val="left"/>
      </w:pPr>
      <w:r>
        <w:rPr>
          <w:rFonts w:ascii="等线" w:hAnsi="等线" w:eastAsia="等线"/>
          <w:b w:val="0"/>
          <w:sz w:val="21"/>
        </w:rPr>
        <w:t>2. 从地理分布来看，我行在全球不同气候区域设有分支机构。在低海拔沿海地区，海平面上升可能威胁到部分沿海分行的物理设施安全。据预测，到2050年，某些沿海分行所在地的海平面可能上升</w:t>
      </w:r>
      <w:r>
        <w:rPr>
          <w:rFonts w:ascii="等线" w:hAnsi="等线" w:eastAsia="等线"/>
          <w:b w:val="0"/>
          <w:sz w:val="21"/>
          <w:highlight w:val="yellow"/>
        </w:rPr>
        <w:t>[X]</w:t>
      </w:r>
      <w:r>
        <w:rPr>
          <w:rFonts w:ascii="等线" w:hAnsi="等线" w:eastAsia="等线"/>
          <w:b w:val="0"/>
          <w:sz w:val="21"/>
        </w:rPr>
        <w:t>厘米，这可能导致每年面临</w:t>
      </w:r>
      <w:r>
        <w:rPr>
          <w:rFonts w:ascii="等线" w:hAnsi="等线" w:eastAsia="等线"/>
          <w:b w:val="0"/>
          <w:sz w:val="21"/>
          <w:highlight w:val="yellow"/>
        </w:rPr>
        <w:t>[X]</w:t>
      </w:r>
      <w:r>
        <w:rPr>
          <w:rFonts w:ascii="等线" w:hAnsi="等线" w:eastAsia="等线"/>
          <w:b w:val="0"/>
          <w:sz w:val="21"/>
        </w:rPr>
        <w:t>美元的潜在设施维护和搬迁成本增加风险。</w:t>
      </w:r>
    </w:p>
    <w:p>
      <w:pPr>
        <w:jc w:val="left"/>
      </w:pPr>
      <w:r>
        <w:rPr>
          <w:rFonts w:ascii="等线" w:hAnsi="等线" w:eastAsia="等线"/>
          <w:b w:val="0"/>
          <w:sz w:val="21"/>
        </w:rPr>
        <w:t>3. 在干旱地区，水资源短缺可能影响当地企业的经营状况，进而影响我行的信贷业务。例如，在我行对当地农业和制造业企业的贷款组合中，约</w:t>
      </w:r>
      <w:r>
        <w:rPr>
          <w:rFonts w:ascii="等线" w:hAnsi="等线" w:eastAsia="等线"/>
          <w:b w:val="0"/>
          <w:sz w:val="21"/>
          <w:highlight w:val="yellow"/>
        </w:rPr>
        <w:t>[X]</w:t>
      </w:r>
      <w:r>
        <w:rPr>
          <w:rFonts w:ascii="等线" w:hAnsi="等线" w:eastAsia="等线"/>
          <w:b w:val="0"/>
          <w:sz w:val="21"/>
        </w:rPr>
        <w:t>%的企业面临因水资源短缺导致生产受限的风险，这可能使我行面临信贷违约风险增加的情况。</w:t>
      </w:r>
    </w:p>
    <w:p>
      <w:pPr>
        <w:jc w:val="left"/>
      </w:pPr>
      <w:r>
        <w:rPr>
          <w:rFonts w:ascii="等线" w:hAnsi="等线" w:eastAsia="等线"/>
          <w:b w:val="0"/>
          <w:sz w:val="21"/>
        </w:rPr>
        <w:t>4. 客户需求方面</w:t>
      </w:r>
    </w:p>
    <w:p>
      <w:pPr>
        <w:jc w:val="left"/>
      </w:pPr>
      <w:r>
        <w:rPr>
          <w:rFonts w:ascii="等线" w:hAnsi="等线" w:eastAsia="等线"/>
          <w:b w:val="0"/>
          <w:sz w:val="21"/>
        </w:rPr>
        <w:t>5. 随着气候变化意识的增强，客户对绿色金融产品和服务的需求不断增长。目前，我行绿色金融产品的销售额占总金融产品销售额的比例为</w:t>
      </w:r>
      <w:r>
        <w:rPr>
          <w:rFonts w:ascii="等线" w:hAnsi="等线" w:eastAsia="等线"/>
          <w:b w:val="0"/>
          <w:sz w:val="21"/>
          <w:highlight w:val="yellow"/>
        </w:rPr>
        <w:t>[X]</w:t>
      </w:r>
      <w:r>
        <w:rPr>
          <w:rFonts w:ascii="等线" w:hAnsi="等线" w:eastAsia="等线"/>
          <w:b w:val="0"/>
          <w:sz w:val="21"/>
        </w:rPr>
        <w:t>%，且每年以</w:t>
      </w:r>
      <w:r>
        <w:rPr>
          <w:rFonts w:ascii="等线" w:hAnsi="等线" w:eastAsia="等线"/>
          <w:b w:val="0"/>
          <w:sz w:val="21"/>
          <w:highlight w:val="yellow"/>
        </w:rPr>
        <w:t>[X]</w:t>
      </w:r>
      <w:r>
        <w:rPr>
          <w:rFonts w:ascii="等线" w:hAnsi="等线" w:eastAsia="等线"/>
          <w:b w:val="0"/>
          <w:sz w:val="21"/>
        </w:rPr>
        <w:t>%的速度增长。然而，若不能及时满足客户对绿色金融日益增长的需求，我行可能失去</w:t>
      </w:r>
      <w:r>
        <w:rPr>
          <w:rFonts w:ascii="等线" w:hAnsi="等线" w:eastAsia="等线"/>
          <w:b w:val="0"/>
          <w:sz w:val="21"/>
          <w:highlight w:val="yellow"/>
        </w:rPr>
        <w:t>[X]</w:t>
      </w:r>
      <w:r>
        <w:rPr>
          <w:rFonts w:ascii="等线" w:hAnsi="等线" w:eastAsia="等线"/>
          <w:b w:val="0"/>
          <w:sz w:val="21"/>
        </w:rPr>
        <w:t>%的潜在客户群体，影响市场份额和盈利能力。</w:t>
      </w:r>
    </w:p>
    <w:p>
      <w:pPr>
        <w:jc w:val="left"/>
      </w:pPr>
      <w:r>
        <w:rPr>
          <w:rFonts w:ascii="等线" w:hAnsi="等线" w:eastAsia="等线"/>
          <w:b w:val="0"/>
          <w:sz w:val="21"/>
        </w:rPr>
        <w:t>（二）应对方法</w:t>
      </w:r>
    </w:p>
    <w:p>
      <w:pPr>
        <w:jc w:val="left"/>
      </w:pPr>
      <w:r>
        <w:rPr>
          <w:rFonts w:ascii="等线" w:hAnsi="等线" w:eastAsia="等线"/>
          <w:b w:val="0"/>
          <w:sz w:val="21"/>
        </w:rPr>
        <w:t>1. 设施风险管理</w:t>
      </w:r>
    </w:p>
    <w:p>
      <w:pPr>
        <w:jc w:val="left"/>
      </w:pPr>
      <w:r>
        <w:rPr>
          <w:rFonts w:ascii="等线" w:hAnsi="等线" w:eastAsia="等线"/>
          <w:b w:val="0"/>
          <w:sz w:val="21"/>
        </w:rPr>
        <w:t>2. 针对沿海分行的海平面上升风险，我们制定了设施加固和搬迁计划。计划在未来5年内投资</w:t>
      </w:r>
      <w:r>
        <w:rPr>
          <w:rFonts w:ascii="等线" w:hAnsi="等线" w:eastAsia="等线"/>
          <w:b w:val="0"/>
          <w:sz w:val="21"/>
          <w:highlight w:val="yellow"/>
        </w:rPr>
        <w:t>[X]</w:t>
      </w:r>
      <w:r>
        <w:rPr>
          <w:rFonts w:ascii="等线" w:hAnsi="等线" w:eastAsia="等线"/>
          <w:b w:val="0"/>
          <w:sz w:val="21"/>
        </w:rPr>
        <w:t>美元用于加固</w:t>
      </w:r>
      <w:r>
        <w:rPr>
          <w:rFonts w:ascii="等线" w:hAnsi="等线" w:eastAsia="等线"/>
          <w:b w:val="0"/>
          <w:sz w:val="21"/>
          <w:highlight w:val="yellow"/>
        </w:rPr>
        <w:t>[X]</w:t>
      </w:r>
      <w:r>
        <w:rPr>
          <w:rFonts w:ascii="等线" w:hAnsi="等线" w:eastAsia="等线"/>
          <w:b w:val="0"/>
          <w:sz w:val="21"/>
        </w:rPr>
        <w:t>个沿海分行的基础设施，提高其抵御海平面上升和洪水的能力。对于风险较高且难以加固的分行，计划在2030年前逐步搬迁至安全区域，预计搬迁成本为</w:t>
      </w:r>
      <w:r>
        <w:rPr>
          <w:rFonts w:ascii="等线" w:hAnsi="等线" w:eastAsia="等线"/>
          <w:b w:val="0"/>
          <w:sz w:val="21"/>
          <w:highlight w:val="yellow"/>
        </w:rPr>
        <w:t>[X]</w:t>
      </w:r>
      <w:r>
        <w:rPr>
          <w:rFonts w:ascii="等线" w:hAnsi="等线" w:eastAsia="等线"/>
          <w:b w:val="0"/>
          <w:sz w:val="21"/>
        </w:rPr>
        <w:t>美元。</w:t>
      </w:r>
    </w:p>
    <w:p>
      <w:pPr>
        <w:jc w:val="left"/>
      </w:pPr>
      <w:r>
        <w:rPr>
          <w:rFonts w:ascii="等线" w:hAnsi="等线" w:eastAsia="等线"/>
          <w:b w:val="0"/>
          <w:sz w:val="21"/>
        </w:rPr>
        <w:t>3. 信贷业务调整</w:t>
      </w:r>
    </w:p>
    <w:p>
      <w:pPr>
        <w:jc w:val="left"/>
      </w:pPr>
      <w:r>
        <w:rPr>
          <w:rFonts w:ascii="等线" w:hAnsi="等线" w:eastAsia="等线"/>
          <w:b w:val="0"/>
          <w:sz w:val="21"/>
        </w:rPr>
        <w:t>4. 在干旱地区，我们加强了对企业水资源管理的评估，将水资源利用效率纳入信贷审批的重要指标。对于水资源利用效率低且无改善计划的企业，收紧信贷额度或提高贷款利率。同时，积极引导企业进行节水技术改造，通过提供优惠贷款等方式，支持</w:t>
      </w:r>
      <w:r>
        <w:rPr>
          <w:rFonts w:ascii="等线" w:hAnsi="等线" w:eastAsia="等线"/>
          <w:b w:val="0"/>
          <w:sz w:val="21"/>
          <w:highlight w:val="yellow"/>
        </w:rPr>
        <w:t>[X]</w:t>
      </w:r>
      <w:r>
        <w:rPr>
          <w:rFonts w:ascii="等线" w:hAnsi="等线" w:eastAsia="等线"/>
          <w:b w:val="0"/>
          <w:sz w:val="21"/>
        </w:rPr>
        <w:t>家企业进行节水技术升级，预计每年可节约水资源</w:t>
      </w:r>
      <w:r>
        <w:rPr>
          <w:rFonts w:ascii="等线" w:hAnsi="等线" w:eastAsia="等线"/>
          <w:b w:val="0"/>
          <w:sz w:val="21"/>
          <w:highlight w:val="yellow"/>
        </w:rPr>
        <w:t>[X]</w:t>
      </w:r>
      <w:r>
        <w:rPr>
          <w:rFonts w:ascii="等线" w:hAnsi="等线" w:eastAsia="等线"/>
          <w:b w:val="0"/>
          <w:sz w:val="21"/>
        </w:rPr>
        <w:t>立方米。</w:t>
      </w:r>
    </w:p>
    <w:p>
      <w:pPr>
        <w:jc w:val="left"/>
      </w:pPr>
      <w:r>
        <w:rPr>
          <w:rFonts w:ascii="等线" w:hAnsi="等线" w:eastAsia="等线"/>
          <w:b w:val="0"/>
          <w:sz w:val="21"/>
        </w:rPr>
        <w:t>5. 绿色金融产品创新</w:t>
      </w:r>
    </w:p>
    <w:p>
      <w:pPr>
        <w:jc w:val="left"/>
      </w:pPr>
      <w:r>
        <w:rPr>
          <w:rFonts w:ascii="等线" w:hAnsi="等线" w:eastAsia="等线"/>
          <w:b w:val="0"/>
          <w:sz w:val="21"/>
        </w:rPr>
        <w:t>6. 加大绿色金融产品的研发和推广力度。计划每年投入</w:t>
      </w:r>
      <w:r>
        <w:rPr>
          <w:rFonts w:ascii="等线" w:hAnsi="等线" w:eastAsia="等线"/>
          <w:b w:val="0"/>
          <w:sz w:val="21"/>
          <w:highlight w:val="yellow"/>
        </w:rPr>
        <w:t>[X]</w:t>
      </w:r>
      <w:r>
        <w:rPr>
          <w:rFonts w:ascii="等线" w:hAnsi="等线" w:eastAsia="等线"/>
          <w:b w:val="0"/>
          <w:sz w:val="21"/>
        </w:rPr>
        <w:t>美元用于绿色金融产品创新，目标是在未来3年内将绿色金融产品销售额占比提高到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二、评估气候适应性时考虑的重大不确定性因素</w:t>
      </w:r>
    </w:p>
    <w:p>
      <w:pPr>
        <w:jc w:val="left"/>
      </w:pPr>
      <w:r>
        <w:rPr>
          <w:rFonts w:ascii="等线" w:hAnsi="等线" w:eastAsia="等线"/>
          <w:b w:val="0"/>
          <w:sz w:val="21"/>
        </w:rPr>
        <w:t>（一）政策法规的不确定性</w:t>
      </w:r>
    </w:p>
    <w:p>
      <w:pPr>
        <w:jc w:val="left"/>
      </w:pPr>
      <w:r>
        <w:rPr>
          <w:rFonts w:ascii="等线" w:hAnsi="等线" w:eastAsia="等线"/>
          <w:b w:val="0"/>
          <w:sz w:val="21"/>
        </w:rPr>
        <w:t>1. 不同国家和地区应对气候变化的政策法规差异较大且不断变化。例如，某些国家可能在未来突然提高碳排放税，这将直接影响我行对高碳企业的信贷业务。目前，我行对高碳企业的贷款余额为</w:t>
      </w:r>
      <w:r>
        <w:rPr>
          <w:rFonts w:ascii="等线" w:hAnsi="等线" w:eastAsia="等线"/>
          <w:b w:val="0"/>
          <w:sz w:val="21"/>
          <w:highlight w:val="yellow"/>
        </w:rPr>
        <w:t>[X]</w:t>
      </w:r>
      <w:r>
        <w:rPr>
          <w:rFonts w:ascii="等线" w:hAnsi="等线" w:eastAsia="等线"/>
          <w:b w:val="0"/>
          <w:sz w:val="21"/>
        </w:rPr>
        <w:t>美元，若碳排放税提高</w:t>
      </w:r>
      <w:r>
        <w:rPr>
          <w:rFonts w:ascii="等线" w:hAnsi="等线" w:eastAsia="等线"/>
          <w:b w:val="0"/>
          <w:sz w:val="21"/>
          <w:highlight w:val="yellow"/>
        </w:rPr>
        <w:t>[X]</w:t>
      </w:r>
      <w:r>
        <w:rPr>
          <w:rFonts w:ascii="等线" w:hAnsi="等线" w:eastAsia="等线"/>
          <w:b w:val="0"/>
          <w:sz w:val="21"/>
        </w:rPr>
        <w:t>%，可能导致这些企业的经营成本上升</w:t>
      </w:r>
      <w:r>
        <w:rPr>
          <w:rFonts w:ascii="等线" w:hAnsi="等线" w:eastAsia="等线"/>
          <w:b w:val="0"/>
          <w:sz w:val="21"/>
          <w:highlight w:val="yellow"/>
        </w:rPr>
        <w:t>[X]</w:t>
      </w:r>
      <w:r>
        <w:rPr>
          <w:rFonts w:ascii="等线" w:hAnsi="等线" w:eastAsia="等线"/>
          <w:b w:val="0"/>
          <w:sz w:val="21"/>
        </w:rPr>
        <w:t>%，进而增加我行信贷违约风险。</w:t>
      </w:r>
    </w:p>
    <w:p>
      <w:pPr>
        <w:jc w:val="left"/>
      </w:pPr>
      <w:r>
        <w:rPr>
          <w:rFonts w:ascii="等线" w:hAnsi="等线" w:eastAsia="等线"/>
          <w:b w:val="0"/>
          <w:sz w:val="21"/>
        </w:rPr>
        <w:t>2. 政策的执行力度也存在不确定性。即使有完善的气候变化政策法规，但如果执行不力，可能导致我行基于政策预期所做的战略调整效果不佳。</w:t>
      </w:r>
    </w:p>
    <w:p>
      <w:pPr>
        <w:jc w:val="left"/>
      </w:pPr>
      <w:r>
        <w:rPr>
          <w:rFonts w:ascii="等线" w:hAnsi="等线" w:eastAsia="等线"/>
          <w:b w:val="0"/>
          <w:sz w:val="21"/>
        </w:rPr>
        <w:t>（二）气候变化预测的不确定性</w:t>
      </w:r>
    </w:p>
    <w:p>
      <w:pPr>
        <w:jc w:val="left"/>
      </w:pPr>
      <w:r>
        <w:rPr>
          <w:rFonts w:ascii="等线" w:hAnsi="等线" w:eastAsia="等线"/>
          <w:b w:val="0"/>
          <w:sz w:val="21"/>
        </w:rPr>
        <w:t>1. 目前的气候变化预测模型存在一定的局限性。例如，对于极端气候事件（如超强台风、特大暴雨等）的发生频率和强度预测不够准确。这使得我行难以精确评估这些极端事件对沿海分行设施的破坏程度，以及对当地企业经营和信贷风险的影响。</w:t>
      </w:r>
    </w:p>
    <w:p>
      <w:pPr>
        <w:jc w:val="left"/>
      </w:pPr>
      <w:r>
        <w:rPr>
          <w:rFonts w:ascii="等线" w:hAnsi="等线" w:eastAsia="等线"/>
          <w:b w:val="0"/>
          <w:sz w:val="21"/>
        </w:rPr>
        <w:t>2. 气候变化对生态系统的影响具有复杂性，这也影响了我们对相关行业（如农业、林业等依赖生态系统的行业）信贷风险的准确评估。</w:t>
      </w:r>
    </w:p>
    <w:p>
      <w:pPr>
        <w:jc w:val="left"/>
      </w:pPr>
      <w:r>
        <w:rPr>
          <w:rFonts w:ascii="等线" w:hAnsi="等线" w:eastAsia="等线"/>
          <w:b w:val="0"/>
          <w:sz w:val="21"/>
        </w:rPr>
        <w:t>三、短期、中期和长期内为适应气候变化调整战略和商业模式的能力</w:t>
      </w:r>
    </w:p>
    <w:p>
      <w:pPr>
        <w:jc w:val="left"/>
      </w:pPr>
      <w:r>
        <w:rPr>
          <w:rFonts w:ascii="等线" w:hAnsi="等线" w:eastAsia="等线"/>
          <w:b w:val="0"/>
          <w:sz w:val="21"/>
        </w:rPr>
        <w:t>（一）短期（1 - 2年）</w:t>
      </w:r>
    </w:p>
    <w:p>
      <w:pPr>
        <w:jc w:val="left"/>
      </w:pPr>
      <w:r>
        <w:rPr>
          <w:rFonts w:ascii="等线" w:hAnsi="等线" w:eastAsia="等线"/>
          <w:b w:val="0"/>
          <w:sz w:val="21"/>
        </w:rPr>
        <w:t>1. 资源调配能力</w:t>
      </w:r>
    </w:p>
    <w:p>
      <w:pPr>
        <w:jc w:val="left"/>
      </w:pPr>
      <w:r>
        <w:rPr>
          <w:rFonts w:ascii="等线" w:hAnsi="等线" w:eastAsia="等线"/>
          <w:b w:val="0"/>
          <w:sz w:val="21"/>
        </w:rPr>
        <w:t>2. 在短期内，我行可以调配</w:t>
      </w:r>
      <w:r>
        <w:rPr>
          <w:rFonts w:ascii="等线" w:hAnsi="等线" w:eastAsia="等线"/>
          <w:b w:val="0"/>
          <w:sz w:val="21"/>
          <w:highlight w:val="yellow"/>
        </w:rPr>
        <w:t>[X]</w:t>
      </w:r>
      <w:r>
        <w:rPr>
          <w:rFonts w:ascii="等线" w:hAnsi="等线" w:eastAsia="等线"/>
          <w:b w:val="0"/>
          <w:sz w:val="21"/>
        </w:rPr>
        <w:t>美元的资金用于应对气候变化相关的风险和机遇。例如，用于支持绿色金融产品的初期推广和对高风险地区分行的应急设施加固。</w:t>
      </w:r>
    </w:p>
    <w:p>
      <w:pPr>
        <w:jc w:val="left"/>
      </w:pPr>
      <w:r>
        <w:rPr>
          <w:rFonts w:ascii="等线" w:hAnsi="等线" w:eastAsia="等线"/>
          <w:b w:val="0"/>
          <w:sz w:val="21"/>
        </w:rPr>
        <w:t>3. 组织协调能力</w:t>
      </w:r>
    </w:p>
    <w:p>
      <w:pPr>
        <w:jc w:val="left"/>
      </w:pPr>
      <w:r>
        <w:rPr>
          <w:rFonts w:ascii="等线" w:hAnsi="等线" w:eastAsia="等线"/>
          <w:b w:val="0"/>
          <w:sz w:val="21"/>
        </w:rPr>
        <w:t>4. 我行已经成立了专门的气候变化应对小组，小组成员来自风险管理、信贷审批、产品研发等多个部门。在短期内，该小组能够迅速协调各部门资源，对气候变化相关的紧急情况做出响应，如对受突发极端气候事件影响的企业进行信贷风险重新评估。</w:t>
      </w:r>
    </w:p>
    <w:p>
      <w:pPr>
        <w:jc w:val="left"/>
      </w:pPr>
      <w:r>
        <w:rPr>
          <w:rFonts w:ascii="等线" w:hAnsi="等线" w:eastAsia="等线"/>
          <w:b w:val="0"/>
          <w:sz w:val="21"/>
        </w:rPr>
        <w:t>（二）中期（3 - 5年）</w:t>
      </w:r>
    </w:p>
    <w:p>
      <w:pPr>
        <w:jc w:val="left"/>
      </w:pPr>
      <w:r>
        <w:rPr>
          <w:rFonts w:ascii="等线" w:hAnsi="等线" w:eastAsia="等线"/>
          <w:b w:val="0"/>
          <w:sz w:val="21"/>
        </w:rPr>
        <w:t>1. 战略调整能力</w:t>
      </w:r>
    </w:p>
    <w:p>
      <w:pPr>
        <w:jc w:val="left"/>
      </w:pPr>
      <w:r>
        <w:rPr>
          <w:rFonts w:ascii="等线" w:hAnsi="等线" w:eastAsia="等线"/>
          <w:b w:val="0"/>
          <w:sz w:val="21"/>
        </w:rPr>
        <w:t>2. 中期内，我行计划将</w:t>
      </w:r>
      <w:r>
        <w:rPr>
          <w:rFonts w:ascii="等线" w:hAnsi="等线" w:eastAsia="等线"/>
          <w:b w:val="0"/>
          <w:sz w:val="21"/>
          <w:highlight w:val="yellow"/>
        </w:rPr>
        <w:t>[X]</w:t>
      </w:r>
      <w:r>
        <w:rPr>
          <w:rFonts w:ascii="等线" w:hAnsi="等线" w:eastAsia="等线"/>
          <w:b w:val="0"/>
          <w:sz w:val="21"/>
        </w:rPr>
        <w:t>%的新增贷款投向绿色产业，逐步减少对高碳产业的信贷支持。同时，根据气候变化对不同地区的影响程度，调整分行的业务布局，计划关闭或合并</w:t>
      </w:r>
      <w:r>
        <w:rPr>
          <w:rFonts w:ascii="等线" w:hAnsi="等线" w:eastAsia="等线"/>
          <w:b w:val="0"/>
          <w:sz w:val="21"/>
          <w:highlight w:val="yellow"/>
        </w:rPr>
        <w:t>[X]</w:t>
      </w:r>
      <w:r>
        <w:rPr>
          <w:rFonts w:ascii="等线" w:hAnsi="等线" w:eastAsia="等线"/>
          <w:b w:val="0"/>
          <w:sz w:val="21"/>
        </w:rPr>
        <w:t>个高风险地区的小型分行，同时在新兴绿色产业聚集区开设</w:t>
      </w:r>
      <w:r>
        <w:rPr>
          <w:rFonts w:ascii="等线" w:hAnsi="等线" w:eastAsia="等线"/>
          <w:b w:val="0"/>
          <w:sz w:val="21"/>
          <w:highlight w:val="yellow"/>
        </w:rPr>
        <w:t>[X]</w:t>
      </w:r>
      <w:r>
        <w:rPr>
          <w:rFonts w:ascii="等线" w:hAnsi="等线" w:eastAsia="等线"/>
          <w:b w:val="0"/>
          <w:sz w:val="21"/>
        </w:rPr>
        <w:t>个新分行。</w:t>
      </w:r>
    </w:p>
    <w:p>
      <w:pPr>
        <w:jc w:val="left"/>
      </w:pPr>
      <w:r>
        <w:rPr>
          <w:rFonts w:ascii="等线" w:hAnsi="等线" w:eastAsia="等线"/>
          <w:b w:val="0"/>
          <w:sz w:val="21"/>
        </w:rPr>
        <w:t>3. 技术应用能力</w:t>
      </w:r>
    </w:p>
    <w:p>
      <w:pPr>
        <w:jc w:val="left"/>
      </w:pPr>
      <w:r>
        <w:rPr>
          <w:rFonts w:ascii="等线" w:hAnsi="等线" w:eastAsia="等线"/>
          <w:b w:val="0"/>
          <w:sz w:val="21"/>
        </w:rPr>
        <w:t>4. 积极引入气候风险评估技术，如大数据分析和人工智能模型，提高对气候变化相关风险的评估精度。预计通过这些技术的应用，能够将气候风险评估的误差率从目前的</w:t>
      </w:r>
      <w:r>
        <w:rPr>
          <w:rFonts w:ascii="等线" w:hAnsi="等线" w:eastAsia="等线"/>
          <w:b w:val="0"/>
          <w:sz w:val="21"/>
          <w:highlight w:val="yellow"/>
        </w:rPr>
        <w:t>[X]</w:t>
      </w:r>
      <w:r>
        <w:rPr>
          <w:rFonts w:ascii="等线" w:hAnsi="等线" w:eastAsia="等线"/>
          <w:b w:val="0"/>
          <w:sz w:val="21"/>
        </w:rPr>
        <w:t>%降低到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（三）长期（5年以上）</w:t>
      </w:r>
    </w:p>
    <w:p>
      <w:pPr>
        <w:jc w:val="left"/>
      </w:pPr>
      <w:r>
        <w:rPr>
          <w:rFonts w:ascii="等线" w:hAnsi="等线" w:eastAsia="等线"/>
          <w:b w:val="0"/>
          <w:sz w:val="21"/>
        </w:rPr>
        <w:t>1. 商业模式创新能力</w:t>
      </w:r>
    </w:p>
    <w:p>
      <w:pPr>
        <w:jc w:val="left"/>
      </w:pPr>
      <w:r>
        <w:rPr>
          <w:rFonts w:ascii="等线" w:hAnsi="等线" w:eastAsia="等线"/>
          <w:b w:val="0"/>
          <w:sz w:val="21"/>
        </w:rPr>
        <w:t>2. 长期来看，我行将探索从传统的金融服务提供商向可持续金融解决方案提供商转型。计划推出基于碳排放权交易等新兴市场的金融产品和服务，预计到2035年，此类创新产品和服务将占我行总收入的</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行业引领能力</w:t>
      </w:r>
    </w:p>
    <w:p>
      <w:pPr>
        <w:jc w:val="left"/>
      </w:pPr>
      <w:r>
        <w:rPr>
          <w:rFonts w:ascii="等线" w:hAnsi="等线" w:eastAsia="等线"/>
          <w:b w:val="0"/>
          <w:sz w:val="21"/>
        </w:rPr>
        <w:t>4. 通过积极参与国际银行业应对气候变化的合作与倡议，我行有望在长期内成为国际银行业应对气候变化的引领者之一。例如，推动国际银行业统一的气候风险评估标准的制定，提高整个行业应对气候变化的能力。</w:t>
      </w:r>
    </w:p>
    <w:p>
      <w:pPr>
        <w:pStyle w:val="Heading3"/>
      </w:pPr>
      <w:r>
        <w:rPr>
          <w:rFonts w:ascii="等线" w:hAnsi="等线" w:eastAsia="等线"/>
          <w:color w:val="000000"/>
          <w:sz w:val="28"/>
        </w:rPr>
        <w:t>气候转型进展</w:t>
      </w:r>
    </w:p>
    <w:p>
      <w:pPr>
        <w:jc w:val="left"/>
      </w:pPr>
      <w:r>
        <w:rPr>
          <w:rFonts w:ascii="等线" w:hAnsi="等线" w:eastAsia="等线"/>
          <w:b w:val="0"/>
          <w:sz w:val="21"/>
        </w:rPr>
        <w:t>一、战略、商业模式和资源分配的调整</w:t>
      </w:r>
    </w:p>
    <w:p>
      <w:pPr>
        <w:jc w:val="left"/>
      </w:pPr>
      <w:r>
        <w:rPr>
          <w:rFonts w:ascii="等线" w:hAnsi="等线" w:eastAsia="等线"/>
          <w:b w:val="0"/>
          <w:sz w:val="21"/>
        </w:rPr>
        <w:t>在应对气候相关风险和机遇方面，本银行对当前和未来战略进行了积极调整。从战略角度，设定了到</w:t>
      </w:r>
      <w:r>
        <w:rPr>
          <w:rFonts w:ascii="等线" w:hAnsi="等线" w:eastAsia="等线"/>
          <w:b w:val="0"/>
          <w:sz w:val="21"/>
          <w:highlight w:val="yellow"/>
        </w:rPr>
        <w:t>[具体年份]</w:t>
      </w:r>
      <w:r>
        <w:rPr>
          <w:rFonts w:ascii="等线" w:hAnsi="等线" w:eastAsia="等线"/>
          <w:b w:val="0"/>
          <w:sz w:val="21"/>
        </w:rPr>
        <w:t>将与气候相关的贷款占总贷款比例提升至</w:t>
      </w:r>
      <w:r>
        <w:rPr>
          <w:rFonts w:ascii="等线" w:hAnsi="等线" w:eastAsia="等线"/>
          <w:b w:val="0"/>
          <w:sz w:val="21"/>
          <w:highlight w:val="yellow"/>
        </w:rPr>
        <w:t>[X]</w:t>
      </w:r>
      <w:r>
        <w:rPr>
          <w:rFonts w:ascii="等线" w:hAnsi="等线" w:eastAsia="等线"/>
          <w:b w:val="0"/>
          <w:sz w:val="21"/>
        </w:rPr>
        <w:t>%的目标。这一调整反映了对可持续发展领域金融支持的重视。</w:t>
      </w:r>
    </w:p>
    <w:p>
      <w:pPr>
        <w:jc w:val="left"/>
      </w:pPr>
      <w:r>
        <w:rPr>
          <w:rFonts w:ascii="等线" w:hAnsi="等线" w:eastAsia="等线"/>
          <w:b w:val="0"/>
          <w:sz w:val="21"/>
        </w:rPr>
        <w:t>商业模式上，逐步加大对绿色产业的金融服务倾斜。例如，在资源分配方面，过去一年将</w:t>
      </w:r>
      <w:r>
        <w:rPr>
          <w:rFonts w:ascii="等线" w:hAnsi="等线" w:eastAsia="等线"/>
          <w:b w:val="0"/>
          <w:sz w:val="21"/>
          <w:highlight w:val="yellow"/>
        </w:rPr>
        <w:t>[X]</w:t>
      </w:r>
      <w:r>
        <w:rPr>
          <w:rFonts w:ascii="等线" w:hAnsi="等线" w:eastAsia="等线"/>
          <w:b w:val="0"/>
          <w:sz w:val="21"/>
        </w:rPr>
        <w:t>%的新增贷款资源分配给了可再生能源、绿色交通等低碳领域，较</w:t>
      </w:r>
      <w:r>
        <w:rPr>
          <w:rFonts w:ascii="等线" w:hAnsi="等线" w:eastAsia="等线"/>
          <w:b w:val="0"/>
          <w:sz w:val="21"/>
          <w:highlight w:val="yellow"/>
        </w:rPr>
        <w:t>[对比年份]</w:t>
      </w:r>
      <w:r>
        <w:rPr>
          <w:rFonts w:ascii="等线" w:hAnsi="等线" w:eastAsia="等线"/>
          <w:b w:val="0"/>
          <w:sz w:val="21"/>
        </w:rPr>
        <w:t>增长了</w:t>
      </w:r>
      <w:r>
        <w:rPr>
          <w:rFonts w:ascii="等线" w:hAnsi="等线" w:eastAsia="等线"/>
          <w:b w:val="0"/>
          <w:sz w:val="21"/>
          <w:highlight w:val="yellow"/>
        </w:rPr>
        <w:t>[X]</w:t>
      </w:r>
      <w:r>
        <w:rPr>
          <w:rFonts w:ascii="等线" w:hAnsi="等线" w:eastAsia="等线"/>
          <w:b w:val="0"/>
          <w:sz w:val="21"/>
        </w:rPr>
        <w:t>个百分点。同时，减少对高碳排行业的传统信贷支持，高碳排行业的贷款占比从</w:t>
      </w:r>
      <w:r>
        <w:rPr>
          <w:rFonts w:ascii="等线" w:hAnsi="等线" w:eastAsia="等线"/>
          <w:b w:val="0"/>
          <w:sz w:val="21"/>
          <w:highlight w:val="yellow"/>
        </w:rPr>
        <w:t>[初始年份]</w:t>
      </w:r>
      <w:r>
        <w:rPr>
          <w:rFonts w:ascii="等线" w:hAnsi="等线" w:eastAsia="等线"/>
          <w:b w:val="0"/>
          <w:sz w:val="21"/>
        </w:rPr>
        <w:t>的</w:t>
      </w:r>
      <w:r>
        <w:rPr>
          <w:rFonts w:ascii="等线" w:hAnsi="等线" w:eastAsia="等线"/>
          <w:b w:val="0"/>
          <w:sz w:val="21"/>
          <w:highlight w:val="yellow"/>
        </w:rPr>
        <w:t>[X]</w:t>
      </w:r>
      <w:r>
        <w:rPr>
          <w:rFonts w:ascii="等线" w:hAnsi="等线" w:eastAsia="等线"/>
          <w:b w:val="0"/>
          <w:sz w:val="21"/>
        </w:rPr>
        <w:t>%下降到目前的</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二、改进生产工艺和更新设备措施</w:t>
      </w:r>
    </w:p>
    <w:p>
      <w:pPr>
        <w:jc w:val="left"/>
      </w:pPr>
      <w:r>
        <w:rPr>
          <w:rFonts w:ascii="等线" w:hAnsi="等线" w:eastAsia="等线"/>
          <w:b w:val="0"/>
          <w:sz w:val="21"/>
        </w:rPr>
        <w:t>为直接或间接应对气候相关风险和机遇，本银行积极推动内部运营的改进。在办公设施方面，已经将</w:t>
      </w:r>
      <w:r>
        <w:rPr>
          <w:rFonts w:ascii="等线" w:hAnsi="等线" w:eastAsia="等线"/>
          <w:b w:val="0"/>
          <w:sz w:val="21"/>
          <w:highlight w:val="yellow"/>
        </w:rPr>
        <w:t>[X]</w:t>
      </w:r>
      <w:r>
        <w:rPr>
          <w:rFonts w:ascii="等线" w:hAnsi="等线" w:eastAsia="等线"/>
          <w:b w:val="0"/>
          <w:sz w:val="21"/>
        </w:rPr>
        <w:t>%的办公照明设备更新为节能型灯具，预计每年可减少电力消耗</w:t>
      </w:r>
      <w:r>
        <w:rPr>
          <w:rFonts w:ascii="等线" w:hAnsi="等线" w:eastAsia="等线"/>
          <w:b w:val="0"/>
          <w:sz w:val="21"/>
          <w:highlight w:val="yellow"/>
        </w:rPr>
        <w:t>[X]</w:t>
      </w:r>
      <w:r>
        <w:rPr>
          <w:rFonts w:ascii="等线" w:hAnsi="等线" w:eastAsia="等线"/>
          <w:b w:val="0"/>
          <w:sz w:val="21"/>
        </w:rPr>
        <w:t>千瓦时。</w:t>
      </w:r>
    </w:p>
    <w:p>
      <w:pPr>
        <w:jc w:val="left"/>
      </w:pPr>
      <w:r>
        <w:rPr>
          <w:rFonts w:ascii="等线" w:hAnsi="等线" w:eastAsia="等线"/>
          <w:b w:val="0"/>
          <w:sz w:val="21"/>
        </w:rPr>
        <w:t>数据中心是银行能耗的重要部分，通过优化冷却系统，数据中心的能源利用效率（PUE）从</w:t>
      </w:r>
      <w:r>
        <w:rPr>
          <w:rFonts w:ascii="等线" w:hAnsi="等线" w:eastAsia="等线"/>
          <w:b w:val="0"/>
          <w:sz w:val="21"/>
          <w:highlight w:val="yellow"/>
        </w:rPr>
        <w:t>[初始PUE值]</w:t>
      </w:r>
      <w:r>
        <w:rPr>
          <w:rFonts w:ascii="等线" w:hAnsi="等线" w:eastAsia="等线"/>
          <w:b w:val="0"/>
          <w:sz w:val="21"/>
        </w:rPr>
        <w:t>降低到了</w:t>
      </w:r>
      <w:r>
        <w:rPr>
          <w:rFonts w:ascii="等线" w:hAnsi="等线" w:eastAsia="等线"/>
          <w:b w:val="0"/>
          <w:sz w:val="21"/>
          <w:highlight w:val="yellow"/>
        </w:rPr>
        <w:t>[当前PUE值]</w:t>
      </w:r>
      <w:r>
        <w:rPr>
          <w:rFonts w:ascii="等线" w:hAnsi="等线" w:eastAsia="等线"/>
          <w:b w:val="0"/>
          <w:sz w:val="21"/>
        </w:rPr>
        <w:t>。同时，计划在未来两年内进一步更新服务器设备，采用更高效节能的型号，预计可再降低</w:t>
      </w:r>
      <w:r>
        <w:rPr>
          <w:rFonts w:ascii="等线" w:hAnsi="等线" w:eastAsia="等线"/>
          <w:b w:val="0"/>
          <w:sz w:val="21"/>
          <w:highlight w:val="yellow"/>
        </w:rPr>
        <w:t>[X]</w:t>
      </w:r>
      <w:r>
        <w:rPr>
          <w:rFonts w:ascii="等线" w:hAnsi="等线" w:eastAsia="等线"/>
          <w:b w:val="0"/>
          <w:sz w:val="21"/>
        </w:rPr>
        <w:t>%的能耗。</w:t>
      </w:r>
    </w:p>
    <w:p>
      <w:pPr>
        <w:jc w:val="left"/>
      </w:pPr>
      <w:r>
        <w:rPr>
          <w:rFonts w:ascii="等线" w:hAnsi="等线" w:eastAsia="等线"/>
          <w:b w:val="0"/>
          <w:sz w:val="21"/>
        </w:rPr>
        <w:t>三、转型计划及基本假设</w:t>
      </w:r>
    </w:p>
    <w:p>
      <w:pPr>
        <w:jc w:val="left"/>
      </w:pPr>
      <w:r>
        <w:rPr>
          <w:rFonts w:ascii="等线" w:hAnsi="等线" w:eastAsia="等线"/>
          <w:b w:val="0"/>
          <w:sz w:val="21"/>
        </w:rPr>
        <w:t>转型计划： - 在未来五年内，将绿色金融产品种类增加</w:t>
      </w:r>
      <w:r>
        <w:rPr>
          <w:rFonts w:ascii="等线" w:hAnsi="等线" w:eastAsia="等线"/>
          <w:b w:val="0"/>
          <w:sz w:val="21"/>
          <w:highlight w:val="yellow"/>
        </w:rPr>
        <w:t>[X]</w:t>
      </w:r>
      <w:r>
        <w:rPr>
          <w:rFonts w:ascii="等线" w:hAnsi="等线" w:eastAsia="等线"/>
          <w:b w:val="0"/>
          <w:sz w:val="21"/>
        </w:rPr>
        <w:t>种，涵盖更多的气候友好型项目。 - 逐步提高对气候相关风险的评估精度，到</w:t>
      </w:r>
      <w:r>
        <w:rPr>
          <w:rFonts w:ascii="等线" w:hAnsi="等线" w:eastAsia="等线"/>
          <w:b w:val="0"/>
          <w:sz w:val="21"/>
          <w:highlight w:val="yellow"/>
        </w:rPr>
        <w:t>[具体年份]</w:t>
      </w:r>
      <w:r>
        <w:rPr>
          <w:rFonts w:ascii="等线" w:hAnsi="等线" w:eastAsia="等线"/>
          <w:b w:val="0"/>
          <w:sz w:val="21"/>
        </w:rPr>
        <w:t>实现对所有重大贷款项目的气候风险全面评估。</w:t>
      </w:r>
    </w:p>
    <w:p>
      <w:pPr>
        <w:jc w:val="left"/>
      </w:pPr>
      <w:r>
        <w:rPr>
          <w:rFonts w:ascii="等线" w:hAnsi="等线" w:eastAsia="等线"/>
          <w:b w:val="0"/>
          <w:sz w:val="21"/>
        </w:rPr>
        <w:t>基本假设： - 假设全球对气候变化的政策管控将持续加强，如碳定价机制将不断完善，这将促使企业和项目更加注重低碳发展，从而为银行的绿色金融业务提供更多机会。 - 技术进步方面，假设可再生能源技术将持续降低成本，使得相关项目的投资回报率提高，进而吸引更多的资金投入，银行可在其中发挥重要的金融支持作用。</w:t>
      </w:r>
    </w:p>
    <w:p>
      <w:pPr>
        <w:jc w:val="left"/>
      </w:pPr>
      <w:r>
        <w:rPr>
          <w:rFonts w:ascii="等线" w:hAnsi="等线" w:eastAsia="等线"/>
          <w:b w:val="0"/>
          <w:sz w:val="21"/>
        </w:rPr>
        <w:t>四、实施转型计划的资源提供</w:t>
      </w:r>
    </w:p>
    <w:p>
      <w:pPr>
        <w:jc w:val="left"/>
      </w:pPr>
      <w:r>
        <w:rPr>
          <w:rFonts w:ascii="等线" w:hAnsi="等线" w:eastAsia="等线"/>
          <w:b w:val="0"/>
          <w:sz w:val="21"/>
        </w:rPr>
        <w:t>人力方面，成立了专门的气候金融团队，目前团队人数已达</w:t>
      </w:r>
      <w:r>
        <w:rPr>
          <w:rFonts w:ascii="等线" w:hAnsi="等线" w:eastAsia="等线"/>
          <w:b w:val="0"/>
          <w:sz w:val="21"/>
          <w:highlight w:val="yellow"/>
        </w:rPr>
        <w:t>[X]</w:t>
      </w:r>
      <w:r>
        <w:rPr>
          <w:rFonts w:ascii="等线" w:hAnsi="等线" w:eastAsia="等线"/>
          <w:b w:val="0"/>
          <w:sz w:val="21"/>
        </w:rPr>
        <w:t>人，计划在未来一年内再扩充</w:t>
      </w:r>
      <w:r>
        <w:rPr>
          <w:rFonts w:ascii="等线" w:hAnsi="等线" w:eastAsia="等线"/>
          <w:b w:val="0"/>
          <w:sz w:val="21"/>
          <w:highlight w:val="yellow"/>
        </w:rPr>
        <w:t>[X]</w:t>
      </w:r>
      <w:r>
        <w:rPr>
          <w:rFonts w:ascii="等线" w:hAnsi="等线" w:eastAsia="等线"/>
          <w:b w:val="0"/>
          <w:sz w:val="21"/>
        </w:rPr>
        <w:t>人。这些专业人员负责绿色金融产品的研发、气候风险的评估等工作。</w:t>
      </w:r>
    </w:p>
    <w:p>
      <w:pPr>
        <w:jc w:val="left"/>
      </w:pPr>
      <w:r>
        <w:rPr>
          <w:rFonts w:ascii="等线" w:hAnsi="等线" w:eastAsia="等线"/>
          <w:b w:val="0"/>
          <w:sz w:val="21"/>
        </w:rPr>
        <w:t>资金方面，每年投入</w:t>
      </w:r>
      <w:r>
        <w:rPr>
          <w:rFonts w:ascii="等线" w:hAnsi="等线" w:eastAsia="等线"/>
          <w:b w:val="0"/>
          <w:sz w:val="21"/>
          <w:highlight w:val="yellow"/>
        </w:rPr>
        <w:t>[X]</w:t>
      </w:r>
      <w:r>
        <w:rPr>
          <w:rFonts w:ascii="等线" w:hAnsi="等线" w:eastAsia="等线"/>
          <w:b w:val="0"/>
          <w:sz w:val="21"/>
        </w:rPr>
        <w:t>百万美元用于绿色金融技术研发和相关培训。同时，预留</w:t>
      </w:r>
      <w:r>
        <w:rPr>
          <w:rFonts w:ascii="等线" w:hAnsi="等线" w:eastAsia="等线"/>
          <w:b w:val="0"/>
          <w:sz w:val="21"/>
          <w:highlight w:val="yellow"/>
        </w:rPr>
        <w:t>[X]</w:t>
      </w:r>
      <w:r>
        <w:rPr>
          <w:rFonts w:ascii="等线" w:hAnsi="等线" w:eastAsia="等线"/>
          <w:b w:val="0"/>
          <w:sz w:val="21"/>
        </w:rPr>
        <w:t>百万美元的专项资金用于支持新兴的气候友好型创新项目的前期调研和风险评估。</w:t>
      </w:r>
    </w:p>
    <w:p>
      <w:pPr>
        <w:jc w:val="left"/>
      </w:pPr>
      <w:r>
        <w:rPr>
          <w:rFonts w:ascii="等线" w:hAnsi="等线" w:eastAsia="等线"/>
          <w:b w:val="0"/>
          <w:sz w:val="21"/>
        </w:rPr>
        <w:t>五、转型计划的进展情况</w:t>
      </w:r>
    </w:p>
    <w:p>
      <w:pPr>
        <w:jc w:val="left"/>
      </w:pPr>
      <w:r>
        <w:rPr>
          <w:rFonts w:ascii="等线" w:hAnsi="等线" w:eastAsia="等线"/>
          <w:b w:val="0"/>
          <w:sz w:val="21"/>
        </w:rPr>
        <w:t>在绿色金融产品种类增加方面，已经成功推出了</w:t>
      </w:r>
      <w:r>
        <w:rPr>
          <w:rFonts w:ascii="等线" w:hAnsi="等线" w:eastAsia="等线"/>
          <w:b w:val="0"/>
          <w:sz w:val="21"/>
          <w:highlight w:val="yellow"/>
        </w:rPr>
        <w:t>[X]</w:t>
      </w:r>
      <w:r>
        <w:rPr>
          <w:rFonts w:ascii="等线" w:hAnsi="等线" w:eastAsia="等线"/>
          <w:b w:val="0"/>
          <w:sz w:val="21"/>
        </w:rPr>
        <w:t>种新的绿色金融产品，如专门针对小型分布式可再生能源项目的贷款产品。目前，与气候相关的贷款余额达到了</w:t>
      </w:r>
      <w:r>
        <w:rPr>
          <w:rFonts w:ascii="等线" w:hAnsi="等线" w:eastAsia="等线"/>
          <w:b w:val="0"/>
          <w:sz w:val="21"/>
          <w:highlight w:val="yellow"/>
        </w:rPr>
        <w:t>[X]</w:t>
      </w:r>
      <w:r>
        <w:rPr>
          <w:rFonts w:ascii="等线" w:hAnsi="等线" w:eastAsia="等线"/>
          <w:b w:val="0"/>
          <w:sz w:val="21"/>
        </w:rPr>
        <w:t>亿美元，较转型计划启动时增长了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在气候风险评估方面，已经完成了对</w:t>
      </w:r>
      <w:r>
        <w:rPr>
          <w:rFonts w:ascii="等线" w:hAnsi="等线" w:eastAsia="等线"/>
          <w:b w:val="0"/>
          <w:sz w:val="21"/>
          <w:highlight w:val="yellow"/>
        </w:rPr>
        <w:t>[X]</w:t>
      </w:r>
      <w:r>
        <w:rPr>
          <w:rFonts w:ascii="等线" w:hAnsi="等线" w:eastAsia="等线"/>
          <w:b w:val="0"/>
          <w:sz w:val="21"/>
        </w:rPr>
        <w:t>%的大型贷款项目的初步气候风险评估，其中</w:t>
      </w:r>
      <w:r>
        <w:rPr>
          <w:rFonts w:ascii="等线" w:hAnsi="等线" w:eastAsia="等线"/>
          <w:b w:val="0"/>
          <w:sz w:val="21"/>
          <w:highlight w:val="yellow"/>
        </w:rPr>
        <w:t>[X]</w:t>
      </w:r>
      <w:r>
        <w:rPr>
          <w:rFonts w:ascii="等线" w:hAnsi="等线" w:eastAsia="等线"/>
          <w:b w:val="0"/>
          <w:sz w:val="21"/>
        </w:rPr>
        <w:t>%的项目根据评估结果调整了贷款条款以更好地应对气候风险。</w:t>
      </w:r>
    </w:p>
    <w:p>
      <w:pPr>
        <w:pStyle w:val="Heading3"/>
      </w:pPr>
      <w:r>
        <w:rPr>
          <w:rFonts w:ascii="等线" w:hAnsi="等线" w:eastAsia="等线"/>
          <w:color w:val="000000"/>
          <w:sz w:val="28"/>
        </w:rPr>
        <w:t>减排进展</w:t>
      </w:r>
    </w:p>
    <w:p>
      <w:pPr>
        <w:jc w:val="left"/>
      </w:pPr>
      <w:r>
        <w:rPr>
          <w:rFonts w:ascii="等线" w:hAnsi="等线" w:eastAsia="等线"/>
          <w:b w:val="0"/>
          <w:sz w:val="21"/>
        </w:rPr>
        <w:t>一、温室气体减排实践概述</w:t>
      </w:r>
    </w:p>
    <w:p>
      <w:pPr>
        <w:jc w:val="left"/>
      </w:pPr>
      <w:r>
        <w:rPr>
          <w:rFonts w:ascii="等线" w:hAnsi="等线" w:eastAsia="等线"/>
          <w:b w:val="0"/>
          <w:sz w:val="21"/>
        </w:rPr>
        <w:t>本银行积极参与应对气候变化相关工作，致力于减少温室气体排放，在多个方面开展了减排实践。</w:t>
      </w:r>
    </w:p>
    <w:p>
      <w:pPr>
        <w:jc w:val="left"/>
      </w:pPr>
      <w:r>
        <w:rPr>
          <w:rFonts w:ascii="等线" w:hAnsi="等线" w:eastAsia="等线"/>
          <w:b w:val="0"/>
          <w:sz w:val="21"/>
        </w:rPr>
        <w:t>二、参与减排机制情况</w:t>
      </w:r>
    </w:p>
    <w:p>
      <w:pPr>
        <w:jc w:val="left"/>
      </w:pPr>
      <w:r>
        <w:rPr>
          <w:rFonts w:ascii="等线" w:hAnsi="等线" w:eastAsia="等线"/>
          <w:b w:val="0"/>
          <w:sz w:val="21"/>
        </w:rPr>
        <w:t>1. 全国温室气体自愿减排项目和核证自愿减排量（CCER）</w:t>
      </w:r>
    </w:p>
    <w:p>
      <w:pPr>
        <w:jc w:val="left"/>
      </w:pPr>
      <w:r>
        <w:rPr>
          <w:rFonts w:ascii="等线" w:hAnsi="等线" w:eastAsia="等线"/>
          <w:b w:val="0"/>
          <w:sz w:val="21"/>
        </w:rPr>
        <w:t>2. 目前，本银行尚未有项目在全国温室气体自愿减排项目中进行登记，但一直在密切关注相关政策动态，积极筹备符合条件的项目。</w:t>
      </w:r>
    </w:p>
    <w:p>
      <w:pPr>
        <w:jc w:val="left"/>
      </w:pPr>
      <w:r>
        <w:rPr>
          <w:rFonts w:ascii="等线" w:hAnsi="等线" w:eastAsia="等线"/>
          <w:b w:val="0"/>
          <w:sz w:val="21"/>
        </w:rPr>
        <w:t>3. 在CCER的交易方面，截至</w:t>
      </w:r>
      <w:r>
        <w:rPr>
          <w:rFonts w:ascii="等线" w:hAnsi="等线" w:eastAsia="等线"/>
          <w:b w:val="0"/>
          <w:sz w:val="21"/>
          <w:highlight w:val="yellow"/>
        </w:rPr>
        <w:t>[报告期末日期]</w:t>
      </w:r>
      <w:r>
        <w:rPr>
          <w:rFonts w:ascii="等线" w:hAnsi="等线" w:eastAsia="等线"/>
          <w:b w:val="0"/>
          <w:sz w:val="21"/>
        </w:rPr>
        <w:t>，尚未参与CCER的交易活动。</w:t>
      </w:r>
    </w:p>
    <w:p>
      <w:pPr>
        <w:jc w:val="left"/>
      </w:pPr>
      <w:r>
        <w:rPr>
          <w:rFonts w:ascii="等线" w:hAnsi="等线" w:eastAsia="等线"/>
          <w:b w:val="0"/>
          <w:sz w:val="21"/>
        </w:rPr>
        <w:t>4. 其他减排机制</w:t>
      </w:r>
    </w:p>
    <w:p>
      <w:pPr>
        <w:jc w:val="left"/>
      </w:pPr>
      <w:r>
        <w:rPr>
          <w:rFonts w:ascii="等线" w:hAnsi="等线" w:eastAsia="等线"/>
          <w:b w:val="0"/>
          <w:sz w:val="21"/>
        </w:rPr>
        <w:t>5. 积极参与国际绿色金融合作机制，例如与国际金融机构共同设立绿色基金，规模达到</w:t>
      </w:r>
      <w:r>
        <w:rPr>
          <w:rFonts w:ascii="等线" w:hAnsi="等线" w:eastAsia="等线"/>
          <w:b w:val="0"/>
          <w:sz w:val="21"/>
          <w:highlight w:val="yellow"/>
        </w:rPr>
        <w:t>[X]</w:t>
      </w:r>
      <w:r>
        <w:rPr>
          <w:rFonts w:ascii="等线" w:hAnsi="等线" w:eastAsia="等线"/>
          <w:b w:val="0"/>
          <w:sz w:val="21"/>
        </w:rPr>
        <w:t>美元。该基金主要投资于可再生能源项目和能效提升项目，通过这种方式间接促进全球温室气体减排。</w:t>
      </w:r>
    </w:p>
    <w:p>
      <w:pPr>
        <w:jc w:val="left"/>
      </w:pPr>
      <w:r>
        <w:rPr>
          <w:rFonts w:ascii="等线" w:hAnsi="等线" w:eastAsia="等线"/>
          <w:b w:val="0"/>
          <w:sz w:val="21"/>
        </w:rPr>
        <w:t>三、减排目标</w:t>
      </w:r>
    </w:p>
    <w:p>
      <w:pPr>
        <w:jc w:val="left"/>
      </w:pPr>
      <w:r>
        <w:rPr>
          <w:rFonts w:ascii="等线" w:hAnsi="等线" w:eastAsia="等线"/>
          <w:b w:val="0"/>
          <w:sz w:val="21"/>
        </w:rPr>
        <w:t>本银行设定了短期（</w:t>
      </w:r>
      <w:r>
        <w:rPr>
          <w:rFonts w:ascii="等线" w:hAnsi="等线" w:eastAsia="等线"/>
          <w:b w:val="0"/>
          <w:sz w:val="21"/>
          <w:highlight w:val="yellow"/>
        </w:rPr>
        <w:t>[具体年份1]</w:t>
      </w:r>
      <w:r>
        <w:rPr>
          <w:rFonts w:ascii="等线" w:hAnsi="等线" w:eastAsia="等线"/>
          <w:b w:val="0"/>
          <w:sz w:val="21"/>
        </w:rPr>
        <w:t>-</w:t>
      </w:r>
      <w:r>
        <w:rPr>
          <w:rFonts w:ascii="等线" w:hAnsi="等线" w:eastAsia="等线"/>
          <w:b w:val="0"/>
          <w:sz w:val="21"/>
          <w:highlight w:val="yellow"/>
        </w:rPr>
        <w:t>[具体年份2]</w:t>
      </w:r>
      <w:r>
        <w:rPr>
          <w:rFonts w:ascii="等线" w:hAnsi="等线" w:eastAsia="等线"/>
          <w:b w:val="0"/>
          <w:sz w:val="21"/>
        </w:rPr>
        <w:t>）、中期（</w:t>
      </w:r>
      <w:r>
        <w:rPr>
          <w:rFonts w:ascii="等线" w:hAnsi="等线" w:eastAsia="等线"/>
          <w:b w:val="0"/>
          <w:sz w:val="21"/>
          <w:highlight w:val="yellow"/>
        </w:rPr>
        <w:t>[具体年份3]</w:t>
      </w:r>
      <w:r>
        <w:rPr>
          <w:rFonts w:ascii="等线" w:hAnsi="等线" w:eastAsia="等线"/>
          <w:b w:val="0"/>
          <w:sz w:val="21"/>
        </w:rPr>
        <w:t>-</w:t>
      </w:r>
      <w:r>
        <w:rPr>
          <w:rFonts w:ascii="等线" w:hAnsi="等线" w:eastAsia="等线"/>
          <w:b w:val="0"/>
          <w:sz w:val="21"/>
          <w:highlight w:val="yellow"/>
        </w:rPr>
        <w:t>[具体年份4]</w:t>
      </w:r>
      <w:r>
        <w:rPr>
          <w:rFonts w:ascii="等线" w:hAnsi="等线" w:eastAsia="等线"/>
          <w:b w:val="0"/>
          <w:sz w:val="21"/>
        </w:rPr>
        <w:t>）和长期（</w:t>
      </w:r>
      <w:r>
        <w:rPr>
          <w:rFonts w:ascii="等线" w:hAnsi="等线" w:eastAsia="等线"/>
          <w:b w:val="0"/>
          <w:sz w:val="21"/>
          <w:highlight w:val="yellow"/>
        </w:rPr>
        <w:t>[具体年份5]</w:t>
      </w:r>
      <w:r>
        <w:rPr>
          <w:rFonts w:ascii="等线" w:hAnsi="等线" w:eastAsia="等线"/>
          <w:b w:val="0"/>
          <w:sz w:val="21"/>
        </w:rPr>
        <w:t>及以后）的温室气体减排目标。短期目标是将运营过程中的温室气体排放量较基线水平降低</w:t>
      </w:r>
      <w:r>
        <w:rPr>
          <w:rFonts w:ascii="等线" w:hAnsi="等线" w:eastAsia="等线"/>
          <w:b w:val="0"/>
          <w:sz w:val="21"/>
          <w:highlight w:val="yellow"/>
        </w:rPr>
        <w:t>[X]</w:t>
      </w:r>
      <w:r>
        <w:rPr>
          <w:rFonts w:ascii="等线" w:hAnsi="等线" w:eastAsia="等线"/>
          <w:b w:val="0"/>
          <w:sz w:val="21"/>
        </w:rPr>
        <w:t>%；中期目标是降低</w:t>
      </w:r>
      <w:r>
        <w:rPr>
          <w:rFonts w:ascii="等线" w:hAnsi="等线" w:eastAsia="等线"/>
          <w:b w:val="0"/>
          <w:sz w:val="21"/>
          <w:highlight w:val="yellow"/>
        </w:rPr>
        <w:t>[X]</w:t>
      </w:r>
      <w:r>
        <w:rPr>
          <w:rFonts w:ascii="等线" w:hAnsi="等线" w:eastAsia="等线"/>
          <w:b w:val="0"/>
          <w:sz w:val="21"/>
        </w:rPr>
        <w:t>%；长期目标是实现运营碳中和。</w:t>
      </w:r>
    </w:p>
    <w:p>
      <w:pPr>
        <w:jc w:val="left"/>
      </w:pPr>
      <w:r>
        <w:rPr>
          <w:rFonts w:ascii="等线" w:hAnsi="等线" w:eastAsia="等线"/>
          <w:b w:val="0"/>
          <w:sz w:val="21"/>
        </w:rPr>
        <w:t>四、减排措施及成效</w:t>
      </w:r>
    </w:p>
    <w:p>
      <w:pPr>
        <w:jc w:val="left"/>
      </w:pPr>
      <w:r>
        <w:rPr>
          <w:rFonts w:ascii="等线" w:hAnsi="等线" w:eastAsia="等线"/>
          <w:b w:val="0"/>
          <w:sz w:val="21"/>
        </w:rPr>
        <w:t>1. 管理措施</w:t>
      </w:r>
    </w:p>
    <w:p>
      <w:pPr>
        <w:jc w:val="left"/>
      </w:pPr>
      <w:r>
        <w:rPr>
          <w:rFonts w:ascii="等线" w:hAnsi="等线" w:eastAsia="等线"/>
          <w:b w:val="0"/>
          <w:sz w:val="21"/>
        </w:rPr>
        <w:t>2. 建立了专门的环境管理部门，负责制定和监督温室气体减排策略的实施。目前该部门共有</w:t>
      </w:r>
      <w:r>
        <w:rPr>
          <w:rFonts w:ascii="等线" w:hAnsi="等线" w:eastAsia="等线"/>
          <w:b w:val="0"/>
          <w:sz w:val="21"/>
          <w:highlight w:val="yellow"/>
        </w:rPr>
        <w:t>[X]</w:t>
      </w:r>
      <w:r>
        <w:rPr>
          <w:rFonts w:ascii="等线" w:hAnsi="等线" w:eastAsia="等线"/>
          <w:b w:val="0"/>
          <w:sz w:val="21"/>
        </w:rPr>
        <w:t>名专业人员。通过加强内部管理，优化业务流程，如减少不必要的纸质文件流转，实现了每年因办公流程优化而减少的温室气体排放量约为</w:t>
      </w:r>
      <w:r>
        <w:rPr>
          <w:rFonts w:ascii="等线" w:hAnsi="等线" w:eastAsia="等线"/>
          <w:b w:val="0"/>
          <w:sz w:val="21"/>
          <w:highlight w:val="yellow"/>
        </w:rPr>
        <w:t>[X]</w:t>
      </w:r>
      <w:r>
        <w:rPr>
          <w:rFonts w:ascii="等线" w:hAnsi="等线" w:eastAsia="等线"/>
          <w:b w:val="0"/>
          <w:sz w:val="21"/>
        </w:rPr>
        <w:t>二氧化碳当量公吨。</w:t>
      </w:r>
    </w:p>
    <w:p>
      <w:pPr>
        <w:jc w:val="left"/>
      </w:pPr>
      <w:r>
        <w:rPr>
          <w:rFonts w:ascii="等线" w:hAnsi="等线" w:eastAsia="等线"/>
          <w:b w:val="0"/>
          <w:sz w:val="21"/>
        </w:rPr>
        <w:t>3. 资金投入</w:t>
      </w:r>
    </w:p>
    <w:p>
      <w:pPr>
        <w:jc w:val="left"/>
      </w:pPr>
      <w:r>
        <w:rPr>
          <w:rFonts w:ascii="等线" w:hAnsi="等线" w:eastAsia="等线"/>
          <w:b w:val="0"/>
          <w:sz w:val="21"/>
        </w:rPr>
        <w:t>4. 在过去一年中，投入</w:t>
      </w:r>
      <w:r>
        <w:rPr>
          <w:rFonts w:ascii="等线" w:hAnsi="等线" w:eastAsia="等线"/>
          <w:b w:val="0"/>
          <w:sz w:val="21"/>
          <w:highlight w:val="yellow"/>
        </w:rPr>
        <w:t>[X]</w:t>
      </w:r>
      <w:r>
        <w:rPr>
          <w:rFonts w:ascii="等线" w:hAnsi="等线" w:eastAsia="等线"/>
          <w:b w:val="0"/>
          <w:sz w:val="21"/>
        </w:rPr>
        <w:t>万元（约合</w:t>
      </w:r>
      <w:r>
        <w:rPr>
          <w:rFonts w:ascii="等线" w:hAnsi="等线" w:eastAsia="等线"/>
          <w:b w:val="0"/>
          <w:sz w:val="21"/>
          <w:highlight w:val="yellow"/>
        </w:rPr>
        <w:t>[X]</w:t>
      </w:r>
      <w:r>
        <w:rPr>
          <w:rFonts w:ascii="等线" w:hAnsi="等线" w:eastAsia="等线"/>
          <w:b w:val="0"/>
          <w:sz w:val="21"/>
        </w:rPr>
        <w:t>美元）用于支持节能减排项目。其中，</w:t>
      </w:r>
      <w:r>
        <w:rPr>
          <w:rFonts w:ascii="等线" w:hAnsi="等线" w:eastAsia="等线"/>
          <w:b w:val="0"/>
          <w:sz w:val="21"/>
          <w:highlight w:val="yellow"/>
        </w:rPr>
        <w:t>[X]</w:t>
      </w:r>
      <w:r>
        <w:rPr>
          <w:rFonts w:ascii="等线" w:hAnsi="等线" w:eastAsia="等线"/>
          <w:b w:val="0"/>
          <w:sz w:val="21"/>
        </w:rPr>
        <w:t>万元用于资助分行的节能设备改造。</w:t>
      </w:r>
    </w:p>
    <w:p>
      <w:pPr>
        <w:jc w:val="left"/>
      </w:pPr>
      <w:r>
        <w:rPr>
          <w:rFonts w:ascii="等线" w:hAnsi="等线" w:eastAsia="等线"/>
          <w:b w:val="0"/>
          <w:sz w:val="21"/>
        </w:rPr>
        <w:t>5. 对绿色信贷项目提供优惠利率支持，截至</w:t>
      </w:r>
      <w:r>
        <w:rPr>
          <w:rFonts w:ascii="等线" w:hAnsi="等线" w:eastAsia="等线"/>
          <w:b w:val="0"/>
          <w:sz w:val="21"/>
          <w:highlight w:val="yellow"/>
        </w:rPr>
        <w:t>[报告期末日期]</w:t>
      </w:r>
      <w:r>
        <w:rPr>
          <w:rFonts w:ascii="等线" w:hAnsi="等线" w:eastAsia="等线"/>
          <w:b w:val="0"/>
          <w:sz w:val="21"/>
        </w:rPr>
        <w:t>，绿色信贷余额达到</w:t>
      </w:r>
      <w:r>
        <w:rPr>
          <w:rFonts w:ascii="等线" w:hAnsi="等线" w:eastAsia="等线"/>
          <w:b w:val="0"/>
          <w:sz w:val="21"/>
          <w:highlight w:val="yellow"/>
        </w:rPr>
        <w:t>[X]</w:t>
      </w:r>
      <w:r>
        <w:rPr>
          <w:rFonts w:ascii="等线" w:hAnsi="等线" w:eastAsia="等线"/>
          <w:b w:val="0"/>
          <w:sz w:val="21"/>
        </w:rPr>
        <w:t>亿元，通过这些绿色信贷项目预计每年可减少温室气体排放</w:t>
      </w:r>
      <w:r>
        <w:rPr>
          <w:rFonts w:ascii="等线" w:hAnsi="等线" w:eastAsia="等线"/>
          <w:b w:val="0"/>
          <w:sz w:val="21"/>
          <w:highlight w:val="yellow"/>
        </w:rPr>
        <w:t>[X]</w:t>
      </w:r>
      <w:r>
        <w:rPr>
          <w:rFonts w:ascii="等线" w:hAnsi="等线" w:eastAsia="等线"/>
          <w:b w:val="0"/>
          <w:sz w:val="21"/>
        </w:rPr>
        <w:t>二氧化碳当量公吨。</w:t>
      </w:r>
    </w:p>
    <w:p>
      <w:pPr>
        <w:jc w:val="left"/>
      </w:pPr>
      <w:r>
        <w:rPr>
          <w:rFonts w:ascii="等线" w:hAnsi="等线" w:eastAsia="等线"/>
          <w:b w:val="0"/>
          <w:sz w:val="21"/>
        </w:rPr>
        <w:t>6. 技术开发</w:t>
      </w:r>
    </w:p>
    <w:p>
      <w:pPr>
        <w:jc w:val="left"/>
      </w:pPr>
      <w:r>
        <w:rPr>
          <w:rFonts w:ascii="等线" w:hAnsi="等线" w:eastAsia="等线"/>
          <w:b w:val="0"/>
          <w:sz w:val="21"/>
        </w:rPr>
        <w:t>7. 与科研机构合作开展能效评估技术研究。通过重新设计部分数据中心的冷却系统，采用新的节能技术，直接减少的温室气体排放量约为</w:t>
      </w:r>
      <w:r>
        <w:rPr>
          <w:rFonts w:ascii="等线" w:hAnsi="等线" w:eastAsia="等线"/>
          <w:b w:val="0"/>
          <w:sz w:val="21"/>
          <w:highlight w:val="yellow"/>
        </w:rPr>
        <w:t>[X]</w:t>
      </w:r>
      <w:r>
        <w:rPr>
          <w:rFonts w:ascii="等线" w:hAnsi="等线" w:eastAsia="等线"/>
          <w:b w:val="0"/>
          <w:sz w:val="21"/>
        </w:rPr>
        <w:t>二氧化碳当量公吨。</w:t>
      </w:r>
    </w:p>
    <w:p>
      <w:pPr>
        <w:jc w:val="left"/>
      </w:pPr>
      <w:r>
        <w:rPr>
          <w:rFonts w:ascii="等线" w:hAnsi="等线" w:eastAsia="等线"/>
          <w:b w:val="0"/>
          <w:sz w:val="21"/>
        </w:rPr>
        <w:t>8. 在营业网点改造方面，更换高效照明设备和智能空调系统，这一举措使得每个网点每年平均减少温室气体排放约</w:t>
      </w:r>
      <w:r>
        <w:rPr>
          <w:rFonts w:ascii="等线" w:hAnsi="等线" w:eastAsia="等线"/>
          <w:b w:val="0"/>
          <w:sz w:val="21"/>
          <w:highlight w:val="yellow"/>
        </w:rPr>
        <w:t>[X]</w:t>
      </w:r>
      <w:r>
        <w:rPr>
          <w:rFonts w:ascii="等线" w:hAnsi="等线" w:eastAsia="等线"/>
          <w:b w:val="0"/>
          <w:sz w:val="21"/>
        </w:rPr>
        <w:t>二氧化碳当量公吨，全银行</w:t>
      </w:r>
      <w:r>
        <w:rPr>
          <w:rFonts w:ascii="等线" w:hAnsi="等线" w:eastAsia="等线"/>
          <w:b w:val="0"/>
          <w:sz w:val="21"/>
          <w:highlight w:val="yellow"/>
        </w:rPr>
        <w:t>[X]</w:t>
      </w:r>
      <w:r>
        <w:rPr>
          <w:rFonts w:ascii="等线" w:hAnsi="等线" w:eastAsia="等线"/>
          <w:b w:val="0"/>
          <w:sz w:val="21"/>
        </w:rPr>
        <w:t>个网点总共减少约</w:t>
      </w:r>
      <w:r>
        <w:rPr>
          <w:rFonts w:ascii="等线" w:hAnsi="等线" w:eastAsia="等线"/>
          <w:b w:val="0"/>
          <w:sz w:val="21"/>
          <w:highlight w:val="yellow"/>
        </w:rPr>
        <w:t>[X]</w:t>
      </w:r>
      <w:r>
        <w:rPr>
          <w:rFonts w:ascii="等线" w:hAnsi="等线" w:eastAsia="等线"/>
          <w:b w:val="0"/>
          <w:sz w:val="21"/>
        </w:rPr>
        <w:t>二氧化碳当量公吨。</w:t>
      </w:r>
    </w:p>
    <w:p>
      <w:pPr>
        <w:jc w:val="left"/>
      </w:pPr>
      <w:r>
        <w:rPr>
          <w:rFonts w:ascii="等线" w:hAnsi="等线" w:eastAsia="等线"/>
          <w:b w:val="0"/>
          <w:sz w:val="21"/>
        </w:rPr>
        <w:t>五、新技术、新产品、新服务及研发进展</w:t>
      </w:r>
    </w:p>
    <w:p>
      <w:pPr>
        <w:jc w:val="left"/>
      </w:pPr>
      <w:r>
        <w:rPr>
          <w:rFonts w:ascii="等线" w:hAnsi="等线" w:eastAsia="等线"/>
          <w:b w:val="0"/>
          <w:sz w:val="21"/>
        </w:rPr>
        <w:t>1. 绿色金融产品</w:t>
      </w:r>
    </w:p>
    <w:p>
      <w:pPr>
        <w:jc w:val="left"/>
      </w:pPr>
      <w:r>
        <w:rPr>
          <w:rFonts w:ascii="等线" w:hAnsi="等线" w:eastAsia="等线"/>
          <w:b w:val="0"/>
          <w:sz w:val="21"/>
        </w:rPr>
        <w:t>2. 开发了专门针对可再生能源企业的金融服务包，包括定制化的贷款产品和风险管理方案。该产品已通过内部严格的风险评估和合规审批。</w:t>
      </w:r>
    </w:p>
    <w:p>
      <w:pPr>
        <w:jc w:val="left"/>
      </w:pPr>
      <w:r>
        <w:rPr>
          <w:rFonts w:ascii="等线" w:hAnsi="等线" w:eastAsia="等线"/>
          <w:b w:val="0"/>
          <w:sz w:val="21"/>
        </w:rPr>
        <w:t>3. 在研发投入方面，为开发这款产品投入了约</w:t>
      </w:r>
      <w:r>
        <w:rPr>
          <w:rFonts w:ascii="等线" w:hAnsi="等线" w:eastAsia="等线"/>
          <w:b w:val="0"/>
          <w:sz w:val="21"/>
          <w:highlight w:val="yellow"/>
        </w:rPr>
        <w:t>[X]</w:t>
      </w:r>
      <w:r>
        <w:rPr>
          <w:rFonts w:ascii="等线" w:hAnsi="等线" w:eastAsia="等线"/>
          <w:b w:val="0"/>
          <w:sz w:val="21"/>
        </w:rPr>
        <w:t>万元（约合</w:t>
      </w:r>
      <w:r>
        <w:rPr>
          <w:rFonts w:ascii="等线" w:hAnsi="等线" w:eastAsia="等线"/>
          <w:b w:val="0"/>
          <w:sz w:val="21"/>
          <w:highlight w:val="yellow"/>
        </w:rPr>
        <w:t>[X]</w:t>
      </w:r>
      <w:r>
        <w:rPr>
          <w:rFonts w:ascii="等线" w:hAnsi="等线" w:eastAsia="等线"/>
          <w:b w:val="0"/>
          <w:sz w:val="21"/>
        </w:rPr>
        <w:t>美元）的研发费用，历时</w:t>
      </w:r>
      <w:r>
        <w:rPr>
          <w:rFonts w:ascii="等线" w:hAnsi="等线" w:eastAsia="等线"/>
          <w:b w:val="0"/>
          <w:sz w:val="21"/>
          <w:highlight w:val="yellow"/>
        </w:rPr>
        <w:t>[X]</w:t>
      </w:r>
      <w:r>
        <w:rPr>
          <w:rFonts w:ascii="等线" w:hAnsi="等线" w:eastAsia="等线"/>
          <w:b w:val="0"/>
          <w:sz w:val="21"/>
        </w:rPr>
        <w:t>个月完成研发。目前已经具备大规模推广的能力，截至</w:t>
      </w:r>
      <w:r>
        <w:rPr>
          <w:rFonts w:ascii="等线" w:hAnsi="等线" w:eastAsia="等线"/>
          <w:b w:val="0"/>
          <w:sz w:val="21"/>
          <w:highlight w:val="yellow"/>
        </w:rPr>
        <w:t>[报告期末日期]</w:t>
      </w:r>
      <w:r>
        <w:rPr>
          <w:rFonts w:ascii="等线" w:hAnsi="等线" w:eastAsia="等线"/>
          <w:b w:val="0"/>
          <w:sz w:val="21"/>
        </w:rPr>
        <w:t>，已经与</w:t>
      </w:r>
      <w:r>
        <w:rPr>
          <w:rFonts w:ascii="等线" w:hAnsi="等线" w:eastAsia="等线"/>
          <w:b w:val="0"/>
          <w:sz w:val="21"/>
          <w:highlight w:val="yellow"/>
        </w:rPr>
        <w:t>[X]</w:t>
      </w:r>
      <w:r>
        <w:rPr>
          <w:rFonts w:ascii="等线" w:hAnsi="等线" w:eastAsia="等线"/>
          <w:b w:val="0"/>
          <w:sz w:val="21"/>
        </w:rPr>
        <w:t>家可再生能源企业签订了合作协议，订单金额总计达到</w:t>
      </w:r>
      <w:r>
        <w:rPr>
          <w:rFonts w:ascii="等线" w:hAnsi="等线" w:eastAsia="等线"/>
          <w:b w:val="0"/>
          <w:sz w:val="21"/>
          <w:highlight w:val="yellow"/>
        </w:rPr>
        <w:t>[X]</w:t>
      </w:r>
      <w:r>
        <w:rPr>
          <w:rFonts w:ascii="等线" w:hAnsi="等线" w:eastAsia="等线"/>
          <w:b w:val="0"/>
          <w:sz w:val="21"/>
        </w:rPr>
        <w:t>亿元。预计该产品的推广将对银行未来的财务状况产生积极影响，增加绿色金融业务收入的同时，也有助于提升银行的社会形象。不过，也存在一定的风险，如可再生能源政策波动可能影响企业还款能力，需要持续加强风险管理。</w:t>
      </w:r>
    </w:p>
    <w:p>
      <w:pPr>
        <w:jc w:val="left"/>
      </w:pPr>
      <w:r>
        <w:rPr>
          <w:rFonts w:ascii="等线" w:hAnsi="等线" w:eastAsia="等线"/>
          <w:b w:val="0"/>
          <w:sz w:val="21"/>
        </w:rPr>
        <w:t>4. 数字化节能服务</w:t>
      </w:r>
    </w:p>
    <w:p>
      <w:pPr>
        <w:jc w:val="left"/>
      </w:pPr>
      <w:r>
        <w:rPr>
          <w:rFonts w:ascii="等线" w:hAnsi="等线" w:eastAsia="等线"/>
          <w:b w:val="0"/>
          <w:sz w:val="21"/>
        </w:rPr>
        <w:t>5. 正在研发一款基于大数据分析的企业能源管理系统金融服务。通过为企业提供能源使用数据监测和分析服务，帮助企业优化能源使用，进而减少温室气体排放。目前该项目已经完成了前期的技术研发，投入研发资金</w:t>
      </w:r>
      <w:r>
        <w:rPr>
          <w:rFonts w:ascii="等线" w:hAnsi="等线" w:eastAsia="等线"/>
          <w:b w:val="0"/>
          <w:sz w:val="21"/>
          <w:highlight w:val="yellow"/>
        </w:rPr>
        <w:t>[X]</w:t>
      </w:r>
      <w:r>
        <w:rPr>
          <w:rFonts w:ascii="等线" w:hAnsi="等线" w:eastAsia="等线"/>
          <w:b w:val="0"/>
          <w:sz w:val="21"/>
        </w:rPr>
        <w:t>万元（约合</w:t>
      </w:r>
      <w:r>
        <w:rPr>
          <w:rFonts w:ascii="等线" w:hAnsi="等线" w:eastAsia="等线"/>
          <w:b w:val="0"/>
          <w:sz w:val="21"/>
          <w:highlight w:val="yellow"/>
        </w:rPr>
        <w:t>[X]</w:t>
      </w:r>
      <w:r>
        <w:rPr>
          <w:rFonts w:ascii="等线" w:hAnsi="等线" w:eastAsia="等线"/>
          <w:b w:val="0"/>
          <w:sz w:val="21"/>
        </w:rPr>
        <w:t>美元），正在进行小规模试点，预计在</w:t>
      </w:r>
      <w:r>
        <w:rPr>
          <w:rFonts w:ascii="等线" w:hAnsi="等线" w:eastAsia="等线"/>
          <w:b w:val="0"/>
          <w:sz w:val="21"/>
          <w:highlight w:val="yellow"/>
        </w:rPr>
        <w:t>[具体年份]</w:t>
      </w:r>
      <w:r>
        <w:rPr>
          <w:rFonts w:ascii="等线" w:hAnsi="等线" w:eastAsia="等线"/>
          <w:b w:val="0"/>
          <w:sz w:val="21"/>
        </w:rPr>
        <w:t>可以完成大规模推广的准备工作，包括通过相关的安全和质量认证。如果大规模推广成功，预计将为银行带来新的业务增长点，同时对推动企业减排具有重要意义，但面临数据安全和市场接受度等不确定性风险。</w:t>
      </w:r>
    </w:p>
    <w:p>
      <w:pPr>
        <w:pStyle w:val="Heading2"/>
      </w:pPr>
      <w:r>
        <w:rPr>
          <w:rFonts w:ascii="等线" w:hAnsi="等线" w:eastAsia="等线"/>
          <w:color w:val="000000"/>
          <w:sz w:val="32"/>
        </w:rPr>
        <w:t>污染物排放</w:t>
      </w:r>
    </w:p>
    <w:p>
      <w:pPr>
        <w:jc w:val="left"/>
      </w:pPr>
      <w:r>
        <w:rPr>
          <w:rFonts w:ascii="等线" w:hAnsi="等线" w:eastAsia="等线"/>
          <w:b w:val="0"/>
          <w:sz w:val="21"/>
        </w:rPr>
        <w:t>污染物排放</w:t>
      </w:r>
    </w:p>
    <w:p>
      <w:pPr>
        <w:jc w:val="left"/>
      </w:pPr>
      <w:r>
        <w:rPr>
          <w:rFonts w:ascii="等线" w:hAnsi="等线" w:eastAsia="等线"/>
          <w:b w:val="0"/>
          <w:sz w:val="21"/>
        </w:rPr>
        <w:t>一、排污信息</w:t>
      </w:r>
    </w:p>
    <w:p>
      <w:pPr>
        <w:jc w:val="left"/>
      </w:pPr>
      <w:r>
        <w:rPr>
          <w:rFonts w:ascii="等线" w:hAnsi="等线" w:eastAsia="等线"/>
          <w:b w:val="0"/>
          <w:sz w:val="21"/>
        </w:rPr>
        <w:t>1. 主要污染物种类与名称</w:t>
      </w:r>
    </w:p>
    <w:p>
      <w:pPr>
        <w:jc w:val="left"/>
      </w:pPr>
      <w:r>
        <w:rPr>
          <w:rFonts w:ascii="等线" w:hAnsi="等线" w:eastAsia="等线"/>
          <w:b w:val="0"/>
          <w:sz w:val="21"/>
        </w:rPr>
        <w:t>2. 本银行及其重要控股子公司的主要污染物包括二氧化碳（CO₂）、氮氧化物（NOₓ）和颗粒物（PM）等。其中，二氧化碳作为温室气体，是全球气候变化关注的重点污染物。</w:t>
      </w:r>
    </w:p>
    <w:p>
      <w:pPr>
        <w:jc w:val="left"/>
      </w:pPr>
      <w:r>
        <w:rPr>
          <w:rFonts w:ascii="等线" w:hAnsi="等线" w:eastAsia="等线"/>
          <w:b w:val="0"/>
          <w:sz w:val="21"/>
        </w:rPr>
        <w:t>3. 排放总量与核定排放总量</w:t>
      </w:r>
    </w:p>
    <w:p>
      <w:pPr>
        <w:jc w:val="left"/>
      </w:pPr>
      <w:r>
        <w:rPr>
          <w:rFonts w:ascii="等线" w:hAnsi="等线" w:eastAsia="等线"/>
          <w:b w:val="0"/>
          <w:sz w:val="21"/>
        </w:rPr>
        <w:t>4. 在报告期内，二氧化碳排放总量为</w:t>
      </w:r>
      <w:r>
        <w:rPr>
          <w:rFonts w:ascii="等线" w:hAnsi="等线" w:eastAsia="等线"/>
          <w:b w:val="0"/>
          <w:sz w:val="21"/>
          <w:highlight w:val="yellow"/>
        </w:rPr>
        <w:t>[X]</w:t>
      </w:r>
      <w:r>
        <w:rPr>
          <w:rFonts w:ascii="等线" w:hAnsi="等线" w:eastAsia="等线"/>
          <w:b w:val="0"/>
          <w:sz w:val="21"/>
        </w:rPr>
        <w:t>吨。根据相关部门核定的排放总量为</w:t>
      </w:r>
      <w:r>
        <w:rPr>
          <w:rFonts w:ascii="等线" w:hAnsi="等线" w:eastAsia="等线"/>
          <w:b w:val="0"/>
          <w:sz w:val="21"/>
          <w:highlight w:val="yellow"/>
        </w:rPr>
        <w:t>[Y]</w:t>
      </w:r>
      <w:r>
        <w:rPr>
          <w:rFonts w:ascii="等线" w:hAnsi="等线" w:eastAsia="等线"/>
          <w:b w:val="0"/>
          <w:sz w:val="21"/>
        </w:rPr>
        <w:t>吨，氮氧化物排放总量为</w:t>
      </w:r>
      <w:r>
        <w:rPr>
          <w:rFonts w:ascii="等线" w:hAnsi="等线" w:eastAsia="等线"/>
          <w:b w:val="0"/>
          <w:sz w:val="21"/>
          <w:highlight w:val="yellow"/>
        </w:rPr>
        <w:t>[Z]</w:t>
      </w:r>
      <w:r>
        <w:rPr>
          <w:rFonts w:ascii="等线" w:hAnsi="等线" w:eastAsia="等线"/>
          <w:b w:val="0"/>
          <w:sz w:val="21"/>
        </w:rPr>
        <w:t>吨，核定排放总量为</w:t>
      </w:r>
      <w:r>
        <w:rPr>
          <w:rFonts w:ascii="等线" w:hAnsi="等线" w:eastAsia="等线"/>
          <w:b w:val="0"/>
          <w:sz w:val="21"/>
          <w:highlight w:val="yellow"/>
        </w:rPr>
        <w:t>[W]</w:t>
      </w:r>
      <w:r>
        <w:rPr>
          <w:rFonts w:ascii="等线" w:hAnsi="等线" w:eastAsia="等线"/>
          <w:b w:val="0"/>
          <w:sz w:val="21"/>
        </w:rPr>
        <w:t>吨。</w:t>
      </w:r>
    </w:p>
    <w:p>
      <w:pPr>
        <w:jc w:val="left"/>
      </w:pPr>
      <w:r>
        <w:rPr>
          <w:rFonts w:ascii="等线" w:hAnsi="等线" w:eastAsia="等线"/>
          <w:b w:val="0"/>
          <w:sz w:val="21"/>
        </w:rPr>
        <w:t>5. 超标排放情况</w:t>
      </w:r>
    </w:p>
    <w:p>
      <w:pPr>
        <w:jc w:val="left"/>
      </w:pPr>
      <w:r>
        <w:rPr>
          <w:rFonts w:ascii="等线" w:hAnsi="等线" w:eastAsia="等线"/>
          <w:b w:val="0"/>
          <w:sz w:val="21"/>
        </w:rPr>
        <w:t>6. 报告期内，本企业严格遵守环境法规，未出现主要污染物的超标排放情况。</w:t>
      </w:r>
    </w:p>
    <w:p>
      <w:pPr>
        <w:jc w:val="left"/>
      </w:pPr>
      <w:r>
        <w:rPr>
          <w:rFonts w:ascii="等线" w:hAnsi="等线" w:eastAsia="等线"/>
          <w:b w:val="0"/>
          <w:sz w:val="21"/>
        </w:rPr>
        <w:t>7. 环保绩效等级情况</w:t>
      </w:r>
    </w:p>
    <w:p>
      <w:pPr>
        <w:jc w:val="left"/>
      </w:pPr>
      <w:r>
        <w:rPr>
          <w:rFonts w:ascii="等线" w:hAnsi="等线" w:eastAsia="等线"/>
          <w:b w:val="0"/>
          <w:sz w:val="21"/>
        </w:rPr>
        <w:t>8. 根据当地环保部门的评估，本企业的环保绩效等级为</w:t>
      </w:r>
      <w:r>
        <w:rPr>
          <w:rFonts w:ascii="等线" w:hAnsi="等线" w:eastAsia="等线"/>
          <w:b w:val="0"/>
          <w:sz w:val="21"/>
          <w:highlight w:val="yellow"/>
        </w:rPr>
        <w:t>[具体等级，如A级]</w:t>
      </w:r>
      <w:r>
        <w:rPr>
          <w:rFonts w:ascii="等线" w:hAnsi="等线" w:eastAsia="等线"/>
          <w:b w:val="0"/>
          <w:sz w:val="21"/>
        </w:rPr>
        <w:t>。这一等级反映了企业在环境管理、污染物排放控制等方面的良好表现。</w:t>
      </w:r>
    </w:p>
    <w:p>
      <w:pPr>
        <w:jc w:val="left"/>
      </w:pPr>
      <w:r>
        <w:rPr>
          <w:rFonts w:ascii="等线" w:hAnsi="等线" w:eastAsia="等线"/>
          <w:b w:val="0"/>
          <w:sz w:val="21"/>
        </w:rPr>
        <w:t>9. 分类披露污染物排放情况（示例）</w:t>
      </w:r>
    </w:p>
    <w:p>
      <w:pPr>
        <w:jc w:val="left"/>
      </w:pPr>
      <w:r>
        <w:rPr>
          <w:rFonts w:ascii="等线" w:hAnsi="等线" w:eastAsia="等线"/>
          <w:b w:val="0"/>
          <w:sz w:val="21"/>
        </w:rPr>
        <w:t>10. 按照业务单位来看，总部办公区域的二氧化碳排放量占总排放量的</w:t>
      </w:r>
      <w:r>
        <w:rPr>
          <w:rFonts w:ascii="等线" w:hAnsi="等线" w:eastAsia="等线"/>
          <w:b w:val="0"/>
          <w:sz w:val="21"/>
          <w:highlight w:val="yellow"/>
        </w:rPr>
        <w:t>[X]</w:t>
      </w:r>
      <w:r>
        <w:rPr>
          <w:rFonts w:ascii="等线" w:hAnsi="等线" w:eastAsia="等线"/>
          <w:b w:val="0"/>
          <w:sz w:val="21"/>
        </w:rPr>
        <w:t>%，主要来源于办公设备的能源消耗和空调系统的运行。而分行网点的二氧化碳排放量占比为</w:t>
      </w:r>
      <w:r>
        <w:rPr>
          <w:rFonts w:ascii="等线" w:hAnsi="等线" w:eastAsia="等线"/>
          <w:b w:val="0"/>
          <w:sz w:val="21"/>
          <w:highlight w:val="yellow"/>
        </w:rPr>
        <w:t>[Y]</w:t>
      </w:r>
      <w:r>
        <w:rPr>
          <w:rFonts w:ascii="等线" w:hAnsi="等线" w:eastAsia="等线"/>
          <w:b w:val="0"/>
          <w:sz w:val="21"/>
        </w:rPr>
        <w:t>%，其排放源除了办公设备外，还有部分来自于客户服务设施。</w:t>
      </w:r>
    </w:p>
    <w:p>
      <w:pPr>
        <w:jc w:val="left"/>
      </w:pPr>
      <w:r>
        <w:rPr>
          <w:rFonts w:ascii="等线" w:hAnsi="等线" w:eastAsia="等线"/>
          <w:b w:val="0"/>
          <w:sz w:val="21"/>
        </w:rPr>
        <w:t>二、污染物处理技术与方式、污染防治设施</w:t>
      </w:r>
    </w:p>
    <w:p>
      <w:pPr>
        <w:jc w:val="left"/>
      </w:pPr>
      <w:r>
        <w:rPr>
          <w:rFonts w:ascii="等线" w:hAnsi="等线" w:eastAsia="等线"/>
          <w:b w:val="0"/>
          <w:sz w:val="21"/>
        </w:rPr>
        <w:t>1. 处理技术和方式</w:t>
      </w:r>
    </w:p>
    <w:p>
      <w:pPr>
        <w:jc w:val="left"/>
      </w:pPr>
      <w:r>
        <w:rPr>
          <w:rFonts w:ascii="等线" w:hAnsi="等线" w:eastAsia="等线"/>
          <w:b w:val="0"/>
          <w:sz w:val="21"/>
        </w:rPr>
        <w:t>2. 对于二氧化碳排放，本企业积极采用节能减排技术。例如，在办公场所推广使用高效节能的照明设备和空调系统，通过智能控制系统，根据人员活动和环境温度自动调节设备运行，以减少能源消耗和二氧化碳排放。</w:t>
      </w:r>
    </w:p>
    <w:p>
      <w:pPr>
        <w:jc w:val="left"/>
      </w:pPr>
      <w:r>
        <w:rPr>
          <w:rFonts w:ascii="等线" w:hAnsi="等线" w:eastAsia="等线"/>
          <w:b w:val="0"/>
          <w:sz w:val="21"/>
        </w:rPr>
        <w:t>3. 针对氮氧化物排放，在有相关排放源的设施中，采用了先进的尾气净化技术，如选择性催化还原（SCR）技术，能够有效降低氮氧化物的排放浓度。</w:t>
      </w:r>
    </w:p>
    <w:p>
      <w:pPr>
        <w:jc w:val="left"/>
      </w:pPr>
      <w:r>
        <w:rPr>
          <w:rFonts w:ascii="等线" w:hAnsi="等线" w:eastAsia="等线"/>
          <w:b w:val="0"/>
          <w:sz w:val="21"/>
        </w:rPr>
        <w:t>4. 污染防治设施建设、运行情况和实施成果</w:t>
      </w:r>
    </w:p>
    <w:p>
      <w:pPr>
        <w:jc w:val="left"/>
      </w:pPr>
      <w:r>
        <w:rPr>
          <w:rFonts w:ascii="等线" w:hAnsi="等线" w:eastAsia="等线"/>
          <w:b w:val="0"/>
          <w:sz w:val="21"/>
        </w:rPr>
        <w:t>5. 本企业在新建和改造办公建筑时，按照绿色建筑标准建设，安装了高效的通风和空气净化系统。这些污染防治设施运行稳定，在减少室内污染物浓度方面取得了显著成果。以二氧化碳排放强度为例，与上一报告期相比，本企业的二氧化碳排放强度降低了</w:t>
      </w:r>
      <w:r>
        <w:rPr>
          <w:rFonts w:ascii="等线" w:hAnsi="等线" w:eastAsia="等线"/>
          <w:b w:val="0"/>
          <w:sz w:val="21"/>
          <w:highlight w:val="yellow"/>
        </w:rPr>
        <w:t>[X]</w:t>
      </w:r>
      <w:r>
        <w:rPr>
          <w:rFonts w:ascii="等线" w:hAnsi="等线" w:eastAsia="等线"/>
          <w:b w:val="0"/>
          <w:sz w:val="21"/>
        </w:rPr>
        <w:t>%，这得益于污染防治设施的有效运行和节能减排措施的实施。</w:t>
      </w:r>
    </w:p>
    <w:p>
      <w:pPr>
        <w:jc w:val="left"/>
      </w:pPr>
      <w:r>
        <w:rPr>
          <w:rFonts w:ascii="等线" w:hAnsi="等线" w:eastAsia="等线"/>
          <w:b w:val="0"/>
          <w:sz w:val="21"/>
        </w:rPr>
        <w:t>三、主要污染物减排目标及措施</w:t>
      </w:r>
    </w:p>
    <w:p>
      <w:pPr>
        <w:jc w:val="left"/>
      </w:pPr>
      <w:r>
        <w:rPr>
          <w:rFonts w:ascii="等线" w:hAnsi="等线" w:eastAsia="等线"/>
          <w:b w:val="0"/>
          <w:sz w:val="21"/>
        </w:rPr>
        <w:t>1. 减排目标</w:t>
      </w:r>
    </w:p>
    <w:p>
      <w:pPr>
        <w:jc w:val="left"/>
      </w:pPr>
      <w:r>
        <w:rPr>
          <w:rFonts w:ascii="等线" w:hAnsi="等线" w:eastAsia="等线"/>
          <w:b w:val="0"/>
          <w:sz w:val="21"/>
        </w:rPr>
        <w:t>2. 本企业制定了明确的二氧化碳减排目标，计划在未来</w:t>
      </w:r>
      <w:r>
        <w:rPr>
          <w:rFonts w:ascii="等线" w:hAnsi="等线" w:eastAsia="等线"/>
          <w:b w:val="0"/>
          <w:sz w:val="21"/>
          <w:highlight w:val="yellow"/>
        </w:rPr>
        <w:t>[具体时间段]</w:t>
      </w:r>
      <w:r>
        <w:rPr>
          <w:rFonts w:ascii="等线" w:hAnsi="等线" w:eastAsia="等线"/>
          <w:b w:val="0"/>
          <w:sz w:val="21"/>
        </w:rPr>
        <w:t>内，将二氧化碳排放总量降低</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具体措施</w:t>
      </w:r>
    </w:p>
    <w:p>
      <w:pPr>
        <w:jc w:val="left"/>
      </w:pPr>
      <w:r>
        <w:rPr>
          <w:rFonts w:ascii="等线" w:hAnsi="等线" w:eastAsia="等线"/>
          <w:b w:val="0"/>
          <w:sz w:val="21"/>
        </w:rPr>
        <w:t>4. 一是加大对可再生能源的利用，在部分办公场所安装太阳能光伏发电系统，预计每年可减少二氧化碳排放</w:t>
      </w:r>
      <w:r>
        <w:rPr>
          <w:rFonts w:ascii="等线" w:hAnsi="等线" w:eastAsia="等线"/>
          <w:b w:val="0"/>
          <w:sz w:val="21"/>
          <w:highlight w:val="yellow"/>
        </w:rPr>
        <w:t>[X]</w:t>
      </w:r>
      <w:r>
        <w:rPr>
          <w:rFonts w:ascii="等线" w:hAnsi="等线" w:eastAsia="等线"/>
          <w:b w:val="0"/>
          <w:sz w:val="21"/>
        </w:rPr>
        <w:t>吨。二是优化业务流程，减少不必要的纸张使用，从而降低因纸张生产和处理过程中产生的间接二氧化碳排放。</w:t>
      </w:r>
    </w:p>
    <w:p>
      <w:pPr>
        <w:jc w:val="left"/>
      </w:pPr>
      <w:r>
        <w:rPr>
          <w:rFonts w:ascii="等线" w:hAnsi="等线" w:eastAsia="等线"/>
          <w:b w:val="0"/>
          <w:sz w:val="21"/>
        </w:rPr>
        <w:t>四、污染物排放对群体的影响</w:t>
      </w:r>
    </w:p>
    <w:p>
      <w:pPr>
        <w:jc w:val="left"/>
      </w:pPr>
      <w:r>
        <w:rPr>
          <w:rFonts w:ascii="等线" w:hAnsi="等线" w:eastAsia="等线"/>
          <w:b w:val="0"/>
          <w:sz w:val="21"/>
        </w:rPr>
        <w:t>1. 对员工的影响</w:t>
      </w:r>
    </w:p>
    <w:p>
      <w:pPr>
        <w:jc w:val="left"/>
      </w:pPr>
      <w:r>
        <w:rPr>
          <w:rFonts w:ascii="等线" w:hAnsi="等线" w:eastAsia="等线"/>
          <w:b w:val="0"/>
          <w:sz w:val="21"/>
        </w:rPr>
        <w:t>2. 本企业通过严格的污染物排放控制，为员工提供了健康、舒适的办公环境。办公场所内的空气质量符合相关标准，有效保障了员工的身体健康。</w:t>
      </w:r>
    </w:p>
    <w:p>
      <w:pPr>
        <w:jc w:val="left"/>
      </w:pPr>
      <w:r>
        <w:rPr>
          <w:rFonts w:ascii="等线" w:hAnsi="等线" w:eastAsia="等线"/>
          <w:b w:val="0"/>
          <w:sz w:val="21"/>
        </w:rPr>
        <w:t>3. 对当地社区居民的影响</w:t>
      </w:r>
    </w:p>
    <w:p>
      <w:pPr>
        <w:jc w:val="left"/>
      </w:pPr>
      <w:r>
        <w:rPr>
          <w:rFonts w:ascii="等线" w:hAnsi="等线" w:eastAsia="等线"/>
          <w:b w:val="0"/>
          <w:sz w:val="21"/>
        </w:rPr>
        <w:t>4. 由于本企业的污染物排放处于严格控制之下，对周边社区居民的生活环境未产生负面影响。并且，企业积极参与社区的环保公益活动，提高社区居民的环保意识。</w:t>
      </w:r>
    </w:p>
    <w:p>
      <w:pPr>
        <w:jc w:val="left"/>
      </w:pPr>
      <w:r>
        <w:rPr>
          <w:rFonts w:ascii="等线" w:hAnsi="等线" w:eastAsia="等线"/>
          <w:b w:val="0"/>
          <w:sz w:val="21"/>
        </w:rPr>
        <w:t>五、处罚与监测风险管理</w:t>
      </w:r>
    </w:p>
    <w:p>
      <w:pPr>
        <w:jc w:val="left"/>
      </w:pPr>
      <w:r>
        <w:rPr>
          <w:rFonts w:ascii="等线" w:hAnsi="等线" w:eastAsia="等线"/>
          <w:b w:val="0"/>
          <w:sz w:val="21"/>
        </w:rPr>
        <w:t>1. 重大行政处罚或刑事责任情况</w:t>
      </w:r>
    </w:p>
    <w:p>
      <w:pPr>
        <w:jc w:val="left"/>
      </w:pPr>
      <w:r>
        <w:rPr>
          <w:rFonts w:ascii="等线" w:hAnsi="等线" w:eastAsia="等线"/>
          <w:b w:val="0"/>
          <w:sz w:val="21"/>
        </w:rPr>
        <w:t>2. 报告期内，本企业及其重要控股子公司未因污染物排放受到重大行政处罚或被追究刑事责任。</w:t>
      </w:r>
    </w:p>
    <w:p>
      <w:pPr>
        <w:jc w:val="left"/>
      </w:pPr>
      <w:r>
        <w:rPr>
          <w:rFonts w:ascii="等线" w:hAnsi="等线" w:eastAsia="等线"/>
          <w:b w:val="0"/>
          <w:sz w:val="21"/>
        </w:rPr>
        <w:t>3. 环境监测方案和风险管理措施</w:t>
      </w:r>
    </w:p>
    <w:p>
      <w:pPr>
        <w:jc w:val="left"/>
      </w:pPr>
      <w:r>
        <w:rPr>
          <w:rFonts w:ascii="等线" w:hAnsi="等线" w:eastAsia="等线"/>
          <w:b w:val="0"/>
          <w:sz w:val="21"/>
        </w:rPr>
        <w:t>4. 本企业建立了完善的环境监测方案，定期对办公场所和相关设施的污染物排放进行监测。在风险管理方面，制定了环境风险应急预案，能够及时应对可能出现的污染物排放异常情况，不存在重大缺陷。</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废水排放：氨氮</w:t>
            </w:r>
          </w:p>
        </w:tc>
        <w:tc>
          <w:tcPr>
            <w:tcW w:type="dxa" w:w="3213"/>
          </w:tcPr>
          <w:p>
            <w:r>
              <w:rPr>
                <w:sz w:val="21"/>
              </w:rPr>
              <w:t>吨</w:t>
            </w:r>
          </w:p>
        </w:tc>
        <w:tc>
          <w:tcPr>
            <w:tcW w:type="dxa" w:w="3213"/>
          </w:tcPr>
          <w:p>
            <w:r>
              <w:rPr>
                <w:sz w:val="21"/>
              </w:rPr>
            </w:r>
          </w:p>
        </w:tc>
      </w:tr>
      <w:tr>
        <w:tc>
          <w:tcPr>
            <w:tcW w:type="dxa" w:w="3213"/>
          </w:tcPr>
          <w:p>
            <w:r>
              <w:rPr>
                <w:sz w:val="21"/>
              </w:rPr>
              <w:t>废水排放：总氮</w:t>
            </w:r>
          </w:p>
        </w:tc>
        <w:tc>
          <w:tcPr>
            <w:tcW w:type="dxa" w:w="3213"/>
          </w:tcPr>
          <w:p>
            <w:r>
              <w:rPr>
                <w:sz w:val="21"/>
              </w:rPr>
              <w:t>吨</w:t>
            </w:r>
          </w:p>
        </w:tc>
        <w:tc>
          <w:tcPr>
            <w:tcW w:type="dxa" w:w="3213"/>
          </w:tcPr>
          <w:p>
            <w:r>
              <w:rPr>
                <w:sz w:val="21"/>
              </w:rPr>
            </w:r>
          </w:p>
        </w:tc>
      </w:tr>
      <w:tr>
        <w:tc>
          <w:tcPr>
            <w:tcW w:type="dxa" w:w="3213"/>
          </w:tcPr>
          <w:p>
            <w:r>
              <w:rPr>
                <w:sz w:val="21"/>
              </w:rPr>
              <w:t>废水排放：化学需氧量（COD）</w:t>
            </w:r>
          </w:p>
        </w:tc>
        <w:tc>
          <w:tcPr>
            <w:tcW w:type="dxa" w:w="3213"/>
          </w:tcPr>
          <w:p>
            <w:r>
              <w:rPr>
                <w:sz w:val="21"/>
              </w:rPr>
              <w:t>吨</w:t>
            </w:r>
          </w:p>
        </w:tc>
        <w:tc>
          <w:tcPr>
            <w:tcW w:type="dxa" w:w="3213"/>
          </w:tcPr>
          <w:p>
            <w:r>
              <w:rPr>
                <w:sz w:val="21"/>
              </w:rPr>
            </w:r>
          </w:p>
        </w:tc>
      </w:tr>
      <w:tr>
        <w:tc>
          <w:tcPr>
            <w:tcW w:type="dxa" w:w="3213"/>
          </w:tcPr>
          <w:p>
            <w:r>
              <w:rPr>
                <w:sz w:val="21"/>
              </w:rPr>
              <w:t>废水排放：生化需氧量（BOD）</w:t>
            </w:r>
          </w:p>
        </w:tc>
        <w:tc>
          <w:tcPr>
            <w:tcW w:type="dxa" w:w="3213"/>
          </w:tcPr>
          <w:p>
            <w:r>
              <w:rPr>
                <w:sz w:val="21"/>
              </w:rPr>
              <w:t>吨</w:t>
            </w:r>
          </w:p>
        </w:tc>
        <w:tc>
          <w:tcPr>
            <w:tcW w:type="dxa" w:w="3213"/>
          </w:tcPr>
          <w:p>
            <w:r>
              <w:rPr>
                <w:sz w:val="21"/>
              </w:rPr>
            </w:r>
          </w:p>
        </w:tc>
      </w:tr>
      <w:tr>
        <w:tc>
          <w:tcPr>
            <w:tcW w:type="dxa" w:w="3213"/>
          </w:tcPr>
          <w:p>
            <w:r>
              <w:rPr>
                <w:sz w:val="21"/>
              </w:rPr>
              <w:t>废水排放：总磷</w:t>
            </w:r>
          </w:p>
        </w:tc>
        <w:tc>
          <w:tcPr>
            <w:tcW w:type="dxa" w:w="3213"/>
          </w:tcPr>
          <w:p>
            <w:r>
              <w:rPr>
                <w:sz w:val="21"/>
              </w:rPr>
              <w:t>吨</w:t>
            </w:r>
          </w:p>
        </w:tc>
        <w:tc>
          <w:tcPr>
            <w:tcW w:type="dxa" w:w="3213"/>
          </w:tcPr>
          <w:p>
            <w:r>
              <w:rPr>
                <w:sz w:val="21"/>
              </w:rPr>
            </w:r>
          </w:p>
        </w:tc>
      </w:tr>
      <w:tr>
        <w:tc>
          <w:tcPr>
            <w:tcW w:type="dxa" w:w="3213"/>
          </w:tcPr>
          <w:p>
            <w:r>
              <w:rPr>
                <w:sz w:val="21"/>
              </w:rPr>
              <w:t>废气排放：颗粒物(PM)</w:t>
            </w:r>
          </w:p>
        </w:tc>
        <w:tc>
          <w:tcPr>
            <w:tcW w:type="dxa" w:w="3213"/>
          </w:tcPr>
          <w:p>
            <w:r>
              <w:rPr>
                <w:sz w:val="21"/>
              </w:rPr>
              <w:t>吨</w:t>
            </w:r>
          </w:p>
        </w:tc>
        <w:tc>
          <w:tcPr>
            <w:tcW w:type="dxa" w:w="3213"/>
          </w:tcPr>
          <w:p>
            <w:r>
              <w:rPr>
                <w:sz w:val="21"/>
              </w:rPr>
            </w:r>
          </w:p>
        </w:tc>
      </w:tr>
      <w:tr>
        <w:tc>
          <w:tcPr>
            <w:tcW w:type="dxa" w:w="3213"/>
          </w:tcPr>
          <w:p>
            <w:r>
              <w:rPr>
                <w:sz w:val="21"/>
              </w:rPr>
              <w:t>废气排放：二氧化硫(SO2)</w:t>
            </w:r>
          </w:p>
        </w:tc>
        <w:tc>
          <w:tcPr>
            <w:tcW w:type="dxa" w:w="3213"/>
          </w:tcPr>
          <w:p>
            <w:r>
              <w:rPr>
                <w:sz w:val="21"/>
              </w:rPr>
              <w:t>吨</w:t>
            </w:r>
          </w:p>
        </w:tc>
        <w:tc>
          <w:tcPr>
            <w:tcW w:type="dxa" w:w="3213"/>
          </w:tcPr>
          <w:p>
            <w:r>
              <w:rPr>
                <w:sz w:val="21"/>
              </w:rPr>
            </w:r>
          </w:p>
        </w:tc>
      </w:tr>
      <w:tr>
        <w:tc>
          <w:tcPr>
            <w:tcW w:type="dxa" w:w="3213"/>
          </w:tcPr>
          <w:p>
            <w:r>
              <w:rPr>
                <w:sz w:val="21"/>
              </w:rPr>
              <w:t>废气排放：氮氧化物(NOx)</w:t>
            </w:r>
          </w:p>
        </w:tc>
        <w:tc>
          <w:tcPr>
            <w:tcW w:type="dxa" w:w="3213"/>
          </w:tcPr>
          <w:p>
            <w:r>
              <w:rPr>
                <w:sz w:val="21"/>
              </w:rPr>
              <w:t>吨</w:t>
            </w:r>
          </w:p>
        </w:tc>
        <w:tc>
          <w:tcPr>
            <w:tcW w:type="dxa" w:w="3213"/>
          </w:tcPr>
          <w:p>
            <w:r>
              <w:rPr>
                <w:sz w:val="21"/>
              </w:rPr>
            </w:r>
          </w:p>
        </w:tc>
      </w:tr>
      <w:tr>
        <w:tc>
          <w:tcPr>
            <w:tcW w:type="dxa" w:w="3213"/>
          </w:tcPr>
          <w:p>
            <w:r>
              <w:rPr>
                <w:sz w:val="21"/>
              </w:rPr>
              <w:t>废气排放：一氧化碳（CO)</w:t>
            </w:r>
          </w:p>
        </w:tc>
        <w:tc>
          <w:tcPr>
            <w:tcW w:type="dxa" w:w="3213"/>
          </w:tcPr>
          <w:p>
            <w:r>
              <w:rPr>
                <w:sz w:val="21"/>
              </w:rPr>
              <w:t>吨</w:t>
            </w:r>
          </w:p>
        </w:tc>
        <w:tc>
          <w:tcPr>
            <w:tcW w:type="dxa" w:w="3213"/>
          </w:tcPr>
          <w:p>
            <w:r>
              <w:rPr>
                <w:sz w:val="21"/>
              </w:rPr>
            </w:r>
          </w:p>
        </w:tc>
      </w:tr>
      <w:tr>
        <w:tc>
          <w:tcPr>
            <w:tcW w:type="dxa" w:w="3213"/>
          </w:tcPr>
          <w:p>
            <w:r>
              <w:rPr>
                <w:sz w:val="21"/>
              </w:rPr>
              <w:t>废气排放：VOCs</w:t>
            </w:r>
          </w:p>
        </w:tc>
        <w:tc>
          <w:tcPr>
            <w:tcW w:type="dxa" w:w="3213"/>
          </w:tcPr>
          <w:p>
            <w:r>
              <w:rPr>
                <w:sz w:val="21"/>
              </w:rPr>
              <w:t>吨</w:t>
            </w:r>
          </w:p>
        </w:tc>
        <w:tc>
          <w:tcPr>
            <w:tcW w:type="dxa" w:w="3213"/>
          </w:tcPr>
          <w:p>
            <w:r>
              <w:rPr>
                <w:sz w:val="21"/>
              </w:rPr>
            </w:r>
          </w:p>
        </w:tc>
      </w:tr>
      <w:tr>
        <w:tc>
          <w:tcPr>
            <w:tcW w:type="dxa" w:w="3213"/>
          </w:tcPr>
          <w:p>
            <w:r>
              <w:rPr>
                <w:sz w:val="21"/>
              </w:rPr>
              <w:t>废水排放量</w:t>
            </w:r>
          </w:p>
        </w:tc>
        <w:tc>
          <w:tcPr>
            <w:tcW w:type="dxa" w:w="3213"/>
          </w:tcPr>
          <w:p>
            <w:r>
              <w:rPr>
                <w:sz w:val="21"/>
              </w:rPr>
              <w:t>吨</w:t>
            </w:r>
          </w:p>
        </w:tc>
        <w:tc>
          <w:tcPr>
            <w:tcW w:type="dxa" w:w="3213"/>
          </w:tcPr>
          <w:p>
            <w:r>
              <w:rPr>
                <w:sz w:val="21"/>
              </w:rPr>
            </w:r>
          </w:p>
        </w:tc>
      </w:tr>
    </w:tbl>
    <w:p>
      <w:pPr>
        <w:pStyle w:val="Heading2"/>
      </w:pPr>
      <w:r>
        <w:rPr>
          <w:rFonts w:ascii="等线" w:hAnsi="等线" w:eastAsia="等线"/>
          <w:color w:val="000000"/>
          <w:sz w:val="32"/>
        </w:rPr>
        <w:t>废弃物处理</w:t>
      </w:r>
    </w:p>
    <w:p>
      <w:pPr>
        <w:jc w:val="left"/>
      </w:pPr>
      <w:r>
        <w:rPr>
          <w:rFonts w:ascii="等线" w:hAnsi="等线" w:eastAsia="等线"/>
          <w:b w:val="0"/>
          <w:sz w:val="21"/>
        </w:rPr>
        <w:t>一、废弃物总量及密度</w:t>
      </w:r>
    </w:p>
    <w:p>
      <w:pPr>
        <w:jc w:val="left"/>
      </w:pPr>
      <w:r>
        <w:rPr>
          <w:rFonts w:ascii="等线" w:hAnsi="等线" w:eastAsia="等线"/>
          <w:b w:val="0"/>
          <w:sz w:val="21"/>
        </w:rPr>
        <w:t>在本报告期内，我行生产经营活动产生的废弃物总量为</w:t>
      </w:r>
      <w:r>
        <w:rPr>
          <w:rFonts w:ascii="等线" w:hAnsi="等线" w:eastAsia="等线"/>
          <w:b w:val="0"/>
          <w:sz w:val="21"/>
          <w:highlight w:val="yellow"/>
        </w:rPr>
        <w:t>[X]</w:t>
      </w:r>
      <w:r>
        <w:rPr>
          <w:rFonts w:ascii="等线" w:hAnsi="等线" w:eastAsia="等线"/>
          <w:b w:val="0"/>
          <w:sz w:val="21"/>
        </w:rPr>
        <w:t>吨。其中，有害废弃物总量为</w:t>
      </w:r>
      <w:r>
        <w:rPr>
          <w:rFonts w:ascii="等线" w:hAnsi="等线" w:eastAsia="等线"/>
          <w:b w:val="0"/>
          <w:sz w:val="21"/>
          <w:highlight w:val="yellow"/>
        </w:rPr>
        <w:t>[X]</w:t>
      </w:r>
      <w:r>
        <w:rPr>
          <w:rFonts w:ascii="等线" w:hAnsi="等线" w:eastAsia="等线"/>
          <w:b w:val="0"/>
          <w:sz w:val="21"/>
        </w:rPr>
        <w:t>吨，无害废弃物总量为</w:t>
      </w:r>
      <w:r>
        <w:rPr>
          <w:rFonts w:ascii="等线" w:hAnsi="等线" w:eastAsia="等线"/>
          <w:b w:val="0"/>
          <w:sz w:val="21"/>
          <w:highlight w:val="yellow"/>
        </w:rPr>
        <w:t>[X - 有害废弃物量]</w:t>
      </w:r>
      <w:r>
        <w:rPr>
          <w:rFonts w:ascii="等线" w:hAnsi="等线" w:eastAsia="等线"/>
          <w:b w:val="0"/>
          <w:sz w:val="21"/>
        </w:rPr>
        <w:t>吨。</w:t>
      </w:r>
    </w:p>
    <w:p>
      <w:pPr>
        <w:jc w:val="left"/>
      </w:pPr>
      <w:r>
        <w:rPr>
          <w:rFonts w:ascii="等线" w:hAnsi="等线" w:eastAsia="等线"/>
          <w:b w:val="0"/>
          <w:sz w:val="21"/>
        </w:rPr>
        <w:t>从密度方面来看，以单位营收计算，每百万美元营收产生的废弃物总量为</w:t>
      </w:r>
      <w:r>
        <w:rPr>
          <w:rFonts w:ascii="等线" w:hAnsi="等线" w:eastAsia="等线"/>
          <w:b w:val="0"/>
          <w:sz w:val="21"/>
          <w:highlight w:val="yellow"/>
        </w:rPr>
        <w:t>[废弃物总量/营收总额（百万美元）]</w:t>
      </w:r>
      <w:r>
        <w:rPr>
          <w:rFonts w:ascii="等线" w:hAnsi="等线" w:eastAsia="等线"/>
          <w:b w:val="0"/>
          <w:sz w:val="21"/>
        </w:rPr>
        <w:t>吨。其中，每百万美元营收产生的有害废弃物为</w:t>
      </w:r>
      <w:r>
        <w:rPr>
          <w:rFonts w:ascii="等线" w:hAnsi="等线" w:eastAsia="等线"/>
          <w:b w:val="0"/>
          <w:sz w:val="21"/>
          <w:highlight w:val="yellow"/>
        </w:rPr>
        <w:t>[有害废弃物量/营收总额（百万美元）]</w:t>
      </w:r>
      <w:r>
        <w:rPr>
          <w:rFonts w:ascii="等线" w:hAnsi="等线" w:eastAsia="等线"/>
          <w:b w:val="0"/>
          <w:sz w:val="21"/>
        </w:rPr>
        <w:t>吨，每百万美元营收产生的无害废弃物为</w:t>
      </w:r>
      <w:r>
        <w:rPr>
          <w:rFonts w:ascii="等线" w:hAnsi="等线" w:eastAsia="等线"/>
          <w:b w:val="0"/>
          <w:sz w:val="21"/>
          <w:highlight w:val="yellow"/>
        </w:rPr>
        <w:t>[(废弃物总量 - 有害废弃物量)/营收总额（百万美元）]</w:t>
      </w:r>
      <w:r>
        <w:rPr>
          <w:rFonts w:ascii="等线" w:hAnsi="等线" w:eastAsia="等线"/>
          <w:b w:val="0"/>
          <w:sz w:val="21"/>
        </w:rPr>
        <w:t>吨。以单位产量（如每笔业务操作量等可量化的产量指标）计算，每</w:t>
      </w:r>
      <w:r>
        <w:rPr>
          <w:rFonts w:ascii="等线" w:hAnsi="等线" w:eastAsia="等线"/>
          <w:b w:val="0"/>
          <w:sz w:val="21"/>
          <w:highlight w:val="yellow"/>
        </w:rPr>
        <w:t>[具体产量单位]</w:t>
      </w:r>
      <w:r>
        <w:rPr>
          <w:rFonts w:ascii="等线" w:hAnsi="等线" w:eastAsia="等线"/>
          <w:b w:val="0"/>
          <w:sz w:val="21"/>
        </w:rPr>
        <w:t>产生的废弃物总量为</w:t>
      </w:r>
      <w:r>
        <w:rPr>
          <w:rFonts w:ascii="等线" w:hAnsi="等线" w:eastAsia="等线"/>
          <w:b w:val="0"/>
          <w:sz w:val="21"/>
          <w:highlight w:val="yellow"/>
        </w:rPr>
        <w:t>[废弃物总量/产量]</w:t>
      </w:r>
      <w:r>
        <w:rPr>
          <w:rFonts w:ascii="等线" w:hAnsi="等线" w:eastAsia="等线"/>
          <w:b w:val="0"/>
          <w:sz w:val="21"/>
        </w:rPr>
        <w:t>吨，每</w:t>
      </w:r>
      <w:r>
        <w:rPr>
          <w:rFonts w:ascii="等线" w:hAnsi="等线" w:eastAsia="等线"/>
          <w:b w:val="0"/>
          <w:sz w:val="21"/>
          <w:highlight w:val="yellow"/>
        </w:rPr>
        <w:t>[具体产量单位]</w:t>
      </w:r>
      <w:r>
        <w:rPr>
          <w:rFonts w:ascii="等线" w:hAnsi="等线" w:eastAsia="等线"/>
          <w:b w:val="0"/>
          <w:sz w:val="21"/>
        </w:rPr>
        <w:t>产生的有害废弃物为</w:t>
      </w:r>
      <w:r>
        <w:rPr>
          <w:rFonts w:ascii="等线" w:hAnsi="等线" w:eastAsia="等线"/>
          <w:b w:val="0"/>
          <w:sz w:val="21"/>
          <w:highlight w:val="yellow"/>
        </w:rPr>
        <w:t>[有害废弃物量/产量]</w:t>
      </w:r>
      <w:r>
        <w:rPr>
          <w:rFonts w:ascii="等线" w:hAnsi="等线" w:eastAsia="等线"/>
          <w:b w:val="0"/>
          <w:sz w:val="21"/>
        </w:rPr>
        <w:t>吨，每</w:t>
      </w:r>
      <w:r>
        <w:rPr>
          <w:rFonts w:ascii="等线" w:hAnsi="等线" w:eastAsia="等线"/>
          <w:b w:val="0"/>
          <w:sz w:val="21"/>
          <w:highlight w:val="yellow"/>
        </w:rPr>
        <w:t>[具体产量单位]</w:t>
      </w:r>
      <w:r>
        <w:rPr>
          <w:rFonts w:ascii="等线" w:hAnsi="等线" w:eastAsia="等线"/>
          <w:b w:val="0"/>
          <w:sz w:val="21"/>
        </w:rPr>
        <w:t>产生的无害废弃物为</w:t>
      </w:r>
      <w:r>
        <w:rPr>
          <w:rFonts w:ascii="等线" w:hAnsi="等线" w:eastAsia="等线"/>
          <w:b w:val="0"/>
          <w:sz w:val="21"/>
          <w:highlight w:val="yellow"/>
        </w:rPr>
        <w:t>[(废弃物总量 - 有害废弃物量)/产量]</w:t>
      </w:r>
      <w:r>
        <w:rPr>
          <w:rFonts w:ascii="等线" w:hAnsi="等线" w:eastAsia="等线"/>
          <w:b w:val="0"/>
          <w:sz w:val="21"/>
        </w:rPr>
        <w:t>吨。从每项设施角度，我行共有</w:t>
      </w:r>
      <w:r>
        <w:rPr>
          <w:rFonts w:ascii="等线" w:hAnsi="等线" w:eastAsia="等线"/>
          <w:b w:val="0"/>
          <w:sz w:val="21"/>
          <w:highlight w:val="yellow"/>
        </w:rPr>
        <w:t>[设施数量]</w:t>
      </w:r>
      <w:r>
        <w:rPr>
          <w:rFonts w:ascii="等线" w:hAnsi="等线" w:eastAsia="等线"/>
          <w:b w:val="0"/>
          <w:sz w:val="21"/>
        </w:rPr>
        <w:t>个主要设施，平均每个设施产生的废弃物总量为</w:t>
      </w:r>
      <w:r>
        <w:rPr>
          <w:rFonts w:ascii="等线" w:hAnsi="等线" w:eastAsia="等线"/>
          <w:b w:val="0"/>
          <w:sz w:val="21"/>
          <w:highlight w:val="yellow"/>
        </w:rPr>
        <w:t>[废弃物总量/设施数量]</w:t>
      </w:r>
      <w:r>
        <w:rPr>
          <w:rFonts w:ascii="等线" w:hAnsi="等线" w:eastAsia="等线"/>
          <w:b w:val="0"/>
          <w:sz w:val="21"/>
        </w:rPr>
        <w:t>吨，其中平均每个设施产生的有害废弃物为</w:t>
      </w:r>
      <w:r>
        <w:rPr>
          <w:rFonts w:ascii="等线" w:hAnsi="等线" w:eastAsia="等线"/>
          <w:b w:val="0"/>
          <w:sz w:val="21"/>
          <w:highlight w:val="yellow"/>
        </w:rPr>
        <w:t>[有害废弃物量/设施数量]</w:t>
      </w:r>
      <w:r>
        <w:rPr>
          <w:rFonts w:ascii="等线" w:hAnsi="等线" w:eastAsia="等线"/>
          <w:b w:val="0"/>
          <w:sz w:val="21"/>
        </w:rPr>
        <w:t>吨，无害废弃物为</w:t>
      </w:r>
      <w:r>
        <w:rPr>
          <w:rFonts w:ascii="等线" w:hAnsi="等线" w:eastAsia="等线"/>
          <w:b w:val="0"/>
          <w:sz w:val="21"/>
          <w:highlight w:val="yellow"/>
        </w:rPr>
        <w:t>[(废弃物总量 - 有害废弃物量)/设施数量]</w:t>
      </w:r>
      <w:r>
        <w:rPr>
          <w:rFonts w:ascii="等线" w:hAnsi="等线" w:eastAsia="等线"/>
          <w:b w:val="0"/>
          <w:sz w:val="21"/>
        </w:rPr>
        <w:t>吨。</w:t>
      </w:r>
    </w:p>
    <w:p>
      <w:pPr>
        <w:jc w:val="left"/>
      </w:pPr>
      <w:r>
        <w:rPr>
          <w:rFonts w:ascii="等线" w:hAnsi="等线" w:eastAsia="等线"/>
          <w:b w:val="0"/>
          <w:sz w:val="21"/>
        </w:rPr>
        <w:t>二、废弃物处理方法与处置情况</w:t>
      </w:r>
    </w:p>
    <w:p>
      <w:pPr>
        <w:jc w:val="left"/>
      </w:pPr>
      <w:r>
        <w:rPr>
          <w:rFonts w:ascii="等线" w:hAnsi="等线" w:eastAsia="等线"/>
          <w:b w:val="0"/>
          <w:sz w:val="21"/>
        </w:rPr>
        <w:t>1. 有害废弃物</w:t>
      </w:r>
    </w:p>
    <w:p>
      <w:pPr>
        <w:jc w:val="left"/>
      </w:pPr>
      <w:r>
        <w:rPr>
          <w:rFonts w:ascii="等线" w:hAnsi="等线" w:eastAsia="等线"/>
          <w:b w:val="0"/>
          <w:sz w:val="21"/>
        </w:rPr>
        <w:t>2. 对于电子设备废弃物（如废旧电脑、打印机等），这些设备中含有的重金属等有害物质可能对环境造成危害。我们采用专业的电子废弃物回收公司进行处理，处理率达到</w:t>
      </w:r>
      <w:r>
        <w:rPr>
          <w:rFonts w:ascii="等线" w:hAnsi="等线" w:eastAsia="等线"/>
          <w:b w:val="0"/>
          <w:sz w:val="21"/>
          <w:highlight w:val="yellow"/>
        </w:rPr>
        <w:t>[X]</w:t>
      </w:r>
      <w:r>
        <w:rPr>
          <w:rFonts w:ascii="等线" w:hAnsi="等线" w:eastAsia="等线"/>
          <w:b w:val="0"/>
          <w:sz w:val="21"/>
        </w:rPr>
        <w:t>%。回收公司会对电子设备进行拆解，将其中的可回收部件如金属、塑料等进行分离回收，对于有害物质如汞、镉等进行专门的无害化处理。</w:t>
      </w:r>
    </w:p>
    <w:p>
      <w:pPr>
        <w:jc w:val="left"/>
      </w:pPr>
      <w:r>
        <w:rPr>
          <w:rFonts w:ascii="等线" w:hAnsi="等线" w:eastAsia="等线"/>
          <w:b w:val="0"/>
          <w:sz w:val="21"/>
        </w:rPr>
        <w:t>3. 含汞的废旧照明设备等有害废弃物，我们按照国际危险废物管理标准，采用密封包装后运输到专业的危险废物处理中心。这些处理中心会通过高温蒸馏等技术，将汞进行回收，处理后的残渣进行安全填埋，处理的合规性达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4. 无害废弃物</w:t>
      </w:r>
    </w:p>
    <w:p>
      <w:pPr>
        <w:jc w:val="left"/>
      </w:pPr>
      <w:r>
        <w:rPr>
          <w:rFonts w:ascii="等线" w:hAnsi="等线" w:eastAsia="等线"/>
          <w:b w:val="0"/>
          <w:sz w:val="21"/>
        </w:rPr>
        <w:t>5. 纸张类废弃物，我们通过内部的纸张回收系统进行收集，然后交由专业的造纸厂进行再生利用。纸张废弃物的回收利用率达到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6. 塑料类废弃物（如废弃的办公用品塑料包装等），采用分类收集后，由塑料回收企业进行加工处理，制成再生塑料颗粒，用于生产塑料制品，塑料废弃物的回收再利用比例为</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三、废弃物减排目标及措施</w:t>
      </w:r>
    </w:p>
    <w:p>
      <w:pPr>
        <w:jc w:val="left"/>
      </w:pPr>
      <w:r>
        <w:rPr>
          <w:rFonts w:ascii="等线" w:hAnsi="等线" w:eastAsia="等线"/>
          <w:b w:val="0"/>
          <w:sz w:val="21"/>
        </w:rPr>
        <w:t>1. 减排目标</w:t>
      </w:r>
    </w:p>
    <w:p>
      <w:pPr>
        <w:jc w:val="left"/>
      </w:pPr>
      <w:r>
        <w:rPr>
          <w:rFonts w:ascii="等线" w:hAnsi="等线" w:eastAsia="等线"/>
          <w:b w:val="0"/>
          <w:sz w:val="21"/>
        </w:rPr>
        <w:t>2. 计划在未来</w:t>
      </w:r>
      <w:r>
        <w:rPr>
          <w:rFonts w:ascii="等线" w:hAnsi="等线" w:eastAsia="等线"/>
          <w:b w:val="0"/>
          <w:sz w:val="21"/>
          <w:highlight w:val="yellow"/>
        </w:rPr>
        <w:t>[X]</w:t>
      </w:r>
      <w:r>
        <w:rPr>
          <w:rFonts w:ascii="等线" w:hAnsi="等线" w:eastAsia="等线"/>
          <w:b w:val="0"/>
          <w:sz w:val="21"/>
        </w:rPr>
        <w:t>年内将废弃物总量降低</w:t>
      </w:r>
      <w:r>
        <w:rPr>
          <w:rFonts w:ascii="等线" w:hAnsi="等线" w:eastAsia="等线"/>
          <w:b w:val="0"/>
          <w:sz w:val="21"/>
          <w:highlight w:val="yellow"/>
        </w:rPr>
        <w:t>[X]</w:t>
      </w:r>
      <w:r>
        <w:rPr>
          <w:rFonts w:ascii="等线" w:hAnsi="等线" w:eastAsia="等线"/>
          <w:b w:val="0"/>
          <w:sz w:val="21"/>
        </w:rPr>
        <w:t>%。其中，有害废弃物总量降低</w:t>
      </w:r>
      <w:r>
        <w:rPr>
          <w:rFonts w:ascii="等线" w:hAnsi="等线" w:eastAsia="等线"/>
          <w:b w:val="0"/>
          <w:sz w:val="21"/>
          <w:highlight w:val="yellow"/>
        </w:rPr>
        <w:t>[X]</w:t>
      </w:r>
      <w:r>
        <w:rPr>
          <w:rFonts w:ascii="等线" w:hAnsi="等线" w:eastAsia="等线"/>
          <w:b w:val="0"/>
          <w:sz w:val="21"/>
        </w:rPr>
        <w:t>%，无害废弃物总量降低</w:t>
      </w:r>
      <w:r>
        <w:rPr>
          <w:rFonts w:ascii="等线" w:hAnsi="等线" w:eastAsia="等线"/>
          <w:b w:val="0"/>
          <w:sz w:val="21"/>
          <w:highlight w:val="yellow"/>
        </w:rPr>
        <w:t>[X]</w:t>
      </w:r>
      <w:r>
        <w:rPr>
          <w:rFonts w:ascii="等线" w:hAnsi="等线" w:eastAsia="等线"/>
          <w:b w:val="0"/>
          <w:sz w:val="21"/>
        </w:rPr>
        <w:t>%。以单位营收计算，目标是将每百万美元营收产生的废弃物总量降低至</w:t>
      </w:r>
      <w:r>
        <w:rPr>
          <w:rFonts w:ascii="等线" w:hAnsi="等线" w:eastAsia="等线"/>
          <w:b w:val="0"/>
          <w:sz w:val="21"/>
          <w:highlight w:val="yellow"/>
        </w:rPr>
        <w:t>[目标值]</w:t>
      </w:r>
      <w:r>
        <w:rPr>
          <w:rFonts w:ascii="等线" w:hAnsi="等线" w:eastAsia="等线"/>
          <w:b w:val="0"/>
          <w:sz w:val="21"/>
        </w:rPr>
        <w:t>吨，每百万美元营收产生的有害废弃物降低至</w:t>
      </w:r>
      <w:r>
        <w:rPr>
          <w:rFonts w:ascii="等线" w:hAnsi="等线" w:eastAsia="等线"/>
          <w:b w:val="0"/>
          <w:sz w:val="21"/>
          <w:highlight w:val="yellow"/>
        </w:rPr>
        <w:t>[目标值]</w:t>
      </w:r>
      <w:r>
        <w:rPr>
          <w:rFonts w:ascii="等线" w:hAnsi="等线" w:eastAsia="等线"/>
          <w:b w:val="0"/>
          <w:sz w:val="21"/>
        </w:rPr>
        <w:t>吨，每百万美元营收产生的无害废弃物降低至</w:t>
      </w:r>
      <w:r>
        <w:rPr>
          <w:rFonts w:ascii="等线" w:hAnsi="等线" w:eastAsia="等线"/>
          <w:b w:val="0"/>
          <w:sz w:val="21"/>
          <w:highlight w:val="yellow"/>
        </w:rPr>
        <w:t>[目标值]</w:t>
      </w:r>
      <w:r>
        <w:rPr>
          <w:rFonts w:ascii="等线" w:hAnsi="等线" w:eastAsia="等线"/>
          <w:b w:val="0"/>
          <w:sz w:val="21"/>
        </w:rPr>
        <w:t>吨。以单位产量计算，每</w:t>
      </w:r>
      <w:r>
        <w:rPr>
          <w:rFonts w:ascii="等线" w:hAnsi="等线" w:eastAsia="等线"/>
          <w:b w:val="0"/>
          <w:sz w:val="21"/>
          <w:highlight w:val="yellow"/>
        </w:rPr>
        <w:t>[具体产量单位]</w:t>
      </w:r>
      <w:r>
        <w:rPr>
          <w:rFonts w:ascii="等线" w:hAnsi="等线" w:eastAsia="等线"/>
          <w:b w:val="0"/>
          <w:sz w:val="21"/>
        </w:rPr>
        <w:t>产生的废弃物总量目标为</w:t>
      </w:r>
      <w:r>
        <w:rPr>
          <w:rFonts w:ascii="等线" w:hAnsi="等线" w:eastAsia="等线"/>
          <w:b w:val="0"/>
          <w:sz w:val="21"/>
          <w:highlight w:val="yellow"/>
        </w:rPr>
        <w:t>[目标值]</w:t>
      </w:r>
      <w:r>
        <w:rPr>
          <w:rFonts w:ascii="等线" w:hAnsi="等线" w:eastAsia="等线"/>
          <w:b w:val="0"/>
          <w:sz w:val="21"/>
        </w:rPr>
        <w:t>吨，每</w:t>
      </w:r>
      <w:r>
        <w:rPr>
          <w:rFonts w:ascii="等线" w:hAnsi="等线" w:eastAsia="等线"/>
          <w:b w:val="0"/>
          <w:sz w:val="21"/>
          <w:highlight w:val="yellow"/>
        </w:rPr>
        <w:t>[具体产量单位]</w:t>
      </w:r>
      <w:r>
        <w:rPr>
          <w:rFonts w:ascii="等线" w:hAnsi="等线" w:eastAsia="等线"/>
          <w:b w:val="0"/>
          <w:sz w:val="21"/>
        </w:rPr>
        <w:t>产生的有害废弃物目标为</w:t>
      </w:r>
      <w:r>
        <w:rPr>
          <w:rFonts w:ascii="等线" w:hAnsi="等线" w:eastAsia="等线"/>
          <w:b w:val="0"/>
          <w:sz w:val="21"/>
          <w:highlight w:val="yellow"/>
        </w:rPr>
        <w:t>[目标值]</w:t>
      </w:r>
      <w:r>
        <w:rPr>
          <w:rFonts w:ascii="等线" w:hAnsi="等线" w:eastAsia="等线"/>
          <w:b w:val="0"/>
          <w:sz w:val="21"/>
        </w:rPr>
        <w:t>吨，每</w:t>
      </w:r>
      <w:r>
        <w:rPr>
          <w:rFonts w:ascii="等线" w:hAnsi="等线" w:eastAsia="等线"/>
          <w:b w:val="0"/>
          <w:sz w:val="21"/>
          <w:highlight w:val="yellow"/>
        </w:rPr>
        <w:t>[具体产量单位]</w:t>
      </w:r>
      <w:r>
        <w:rPr>
          <w:rFonts w:ascii="等线" w:hAnsi="等线" w:eastAsia="等线"/>
          <w:b w:val="0"/>
          <w:sz w:val="21"/>
        </w:rPr>
        <w:t>产生的无害废弃物目标为</w:t>
      </w:r>
      <w:r>
        <w:rPr>
          <w:rFonts w:ascii="等线" w:hAnsi="等线" w:eastAsia="等线"/>
          <w:b w:val="0"/>
          <w:sz w:val="21"/>
          <w:highlight w:val="yellow"/>
        </w:rPr>
        <w:t>[目标值]</w:t>
      </w:r>
      <w:r>
        <w:rPr>
          <w:rFonts w:ascii="等线" w:hAnsi="等线" w:eastAsia="等线"/>
          <w:b w:val="0"/>
          <w:sz w:val="21"/>
        </w:rPr>
        <w:t>吨。</w:t>
      </w:r>
    </w:p>
    <w:p>
      <w:pPr>
        <w:jc w:val="left"/>
      </w:pPr>
      <w:r>
        <w:rPr>
          <w:rFonts w:ascii="等线" w:hAnsi="等线" w:eastAsia="等线"/>
          <w:b w:val="0"/>
          <w:sz w:val="21"/>
        </w:rPr>
        <w:t>3. 具体措施</w:t>
      </w:r>
    </w:p>
    <w:p>
      <w:pPr>
        <w:jc w:val="left"/>
      </w:pPr>
      <w:r>
        <w:rPr>
          <w:rFonts w:ascii="等线" w:hAnsi="等线" w:eastAsia="等线"/>
          <w:b w:val="0"/>
          <w:sz w:val="21"/>
        </w:rPr>
        <w:t>4. 优化业务流程，减少不必要的纸张打印和文件传递，从而减少纸张废弃物的产生。预计通过这一措施可减少纸张废弃物</w:t>
      </w:r>
      <w:r>
        <w:rPr>
          <w:rFonts w:ascii="等线" w:hAnsi="等线" w:eastAsia="等线"/>
          <w:b w:val="0"/>
          <w:sz w:val="21"/>
          <w:highlight w:val="yellow"/>
        </w:rPr>
        <w:t>[X]</w:t>
      </w:r>
      <w:r>
        <w:rPr>
          <w:rFonts w:ascii="等线" w:hAnsi="等线" w:eastAsia="等线"/>
          <w:b w:val="0"/>
          <w:sz w:val="21"/>
        </w:rPr>
        <w:t>吨/年。</w:t>
      </w:r>
    </w:p>
    <w:p>
      <w:pPr>
        <w:jc w:val="left"/>
      </w:pPr>
      <w:r>
        <w:rPr>
          <w:rFonts w:ascii="等线" w:hAnsi="等线" w:eastAsia="等线"/>
          <w:b w:val="0"/>
          <w:sz w:val="21"/>
        </w:rPr>
        <w:t>5. 对电子设备进行定期维护和升级，延长其使用寿命，减少电子设备废弃物的产生。目标是每年减少电子设备废弃物</w:t>
      </w:r>
      <w:r>
        <w:rPr>
          <w:rFonts w:ascii="等线" w:hAnsi="等线" w:eastAsia="等线"/>
          <w:b w:val="0"/>
          <w:sz w:val="21"/>
          <w:highlight w:val="yellow"/>
        </w:rPr>
        <w:t>[X]</w:t>
      </w:r>
      <w:r>
        <w:rPr>
          <w:rFonts w:ascii="等线" w:hAnsi="等线" w:eastAsia="等线"/>
          <w:b w:val="0"/>
          <w:sz w:val="21"/>
        </w:rPr>
        <w:t>吨。</w:t>
      </w:r>
    </w:p>
    <w:p>
      <w:pPr>
        <w:jc w:val="left"/>
      </w:pPr>
      <w:r>
        <w:rPr>
          <w:rFonts w:ascii="等线" w:hAnsi="等线" w:eastAsia="等线"/>
          <w:b w:val="0"/>
          <w:sz w:val="21"/>
        </w:rPr>
        <w:t>6. 在采购环节，优先选择环保型、可降解或可回收包装的产品，减少塑料等包装废弃物的产生。预计可降低塑料废弃物产生量</w:t>
      </w:r>
      <w:r>
        <w:rPr>
          <w:rFonts w:ascii="等线" w:hAnsi="等线" w:eastAsia="等线"/>
          <w:b w:val="0"/>
          <w:sz w:val="21"/>
          <w:highlight w:val="yellow"/>
        </w:rPr>
        <w:t>[X]</w:t>
      </w:r>
      <w:r>
        <w:rPr>
          <w:rFonts w:ascii="等线" w:hAnsi="等线" w:eastAsia="等线"/>
          <w:b w:val="0"/>
          <w:sz w:val="21"/>
        </w:rPr>
        <w:t>吨/年。</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危险废物处理量</w:t>
            </w:r>
          </w:p>
        </w:tc>
        <w:tc>
          <w:tcPr>
            <w:tcW w:type="dxa" w:w="3213"/>
          </w:tcPr>
          <w:p>
            <w:r>
              <w:rPr>
                <w:sz w:val="21"/>
              </w:rPr>
              <w:t>吨</w:t>
            </w:r>
          </w:p>
        </w:tc>
        <w:tc>
          <w:tcPr>
            <w:tcW w:type="dxa" w:w="3213"/>
          </w:tcPr>
          <w:p>
            <w:r>
              <w:rPr>
                <w:sz w:val="21"/>
              </w:rPr>
            </w:r>
          </w:p>
        </w:tc>
      </w:tr>
      <w:tr>
        <w:tc>
          <w:tcPr>
            <w:tcW w:type="dxa" w:w="3213"/>
          </w:tcPr>
          <w:p>
            <w:r>
              <w:rPr>
                <w:sz w:val="21"/>
              </w:rPr>
              <w:t>一般固废回收量</w:t>
            </w:r>
          </w:p>
        </w:tc>
        <w:tc>
          <w:tcPr>
            <w:tcW w:type="dxa" w:w="3213"/>
          </w:tcPr>
          <w:p>
            <w:r>
              <w:rPr>
                <w:sz w:val="21"/>
              </w:rPr>
              <w:t>吨</w:t>
            </w:r>
          </w:p>
        </w:tc>
        <w:tc>
          <w:tcPr>
            <w:tcW w:type="dxa" w:w="3213"/>
          </w:tcPr>
          <w:p>
            <w:r>
              <w:rPr>
                <w:sz w:val="21"/>
              </w:rPr>
            </w:r>
          </w:p>
        </w:tc>
      </w:tr>
      <w:tr>
        <w:tc>
          <w:tcPr>
            <w:tcW w:type="dxa" w:w="3213"/>
          </w:tcPr>
          <w:p>
            <w:r>
              <w:rPr>
                <w:sz w:val="21"/>
              </w:rPr>
              <w:t>单位营收危险废物产生量</w:t>
            </w:r>
          </w:p>
        </w:tc>
        <w:tc>
          <w:tcPr>
            <w:tcW w:type="dxa" w:w="3213"/>
          </w:tcPr>
          <w:p>
            <w:r>
              <w:rPr>
                <w:sz w:val="21"/>
              </w:rPr>
              <w:t>吨/万元</w:t>
            </w:r>
          </w:p>
        </w:tc>
        <w:tc>
          <w:tcPr>
            <w:tcW w:type="dxa" w:w="3213"/>
          </w:tcPr>
          <w:p>
            <w:r>
              <w:rPr>
                <w:sz w:val="21"/>
              </w:rPr>
            </w:r>
          </w:p>
        </w:tc>
      </w:tr>
      <w:tr>
        <w:tc>
          <w:tcPr>
            <w:tcW w:type="dxa" w:w="3213"/>
          </w:tcPr>
          <w:p>
            <w:r>
              <w:rPr>
                <w:sz w:val="21"/>
              </w:rPr>
              <w:t>单位营收一般固废产生量</w:t>
            </w:r>
          </w:p>
        </w:tc>
        <w:tc>
          <w:tcPr>
            <w:tcW w:type="dxa" w:w="3213"/>
          </w:tcPr>
          <w:p>
            <w:r>
              <w:rPr>
                <w:sz w:val="21"/>
              </w:rPr>
              <w:t>吨/万元</w:t>
            </w:r>
          </w:p>
        </w:tc>
        <w:tc>
          <w:tcPr>
            <w:tcW w:type="dxa" w:w="3213"/>
          </w:tcPr>
          <w:p>
            <w:r>
              <w:rPr>
                <w:sz w:val="21"/>
              </w:rPr>
            </w:r>
          </w:p>
        </w:tc>
      </w:tr>
      <w:tr>
        <w:tc>
          <w:tcPr>
            <w:tcW w:type="dxa" w:w="3213"/>
          </w:tcPr>
          <w:p>
            <w:r>
              <w:rPr>
                <w:sz w:val="21"/>
              </w:rPr>
              <w:t>一般固废产生量</w:t>
            </w:r>
          </w:p>
        </w:tc>
        <w:tc>
          <w:tcPr>
            <w:tcW w:type="dxa" w:w="3213"/>
          </w:tcPr>
          <w:p>
            <w:r>
              <w:rPr>
                <w:sz w:val="21"/>
              </w:rPr>
              <w:t>吨</w:t>
            </w:r>
          </w:p>
        </w:tc>
        <w:tc>
          <w:tcPr>
            <w:tcW w:type="dxa" w:w="3213"/>
          </w:tcPr>
          <w:p>
            <w:r>
              <w:rPr>
                <w:sz w:val="21"/>
              </w:rPr>
            </w:r>
          </w:p>
        </w:tc>
      </w:tr>
      <w:tr>
        <w:tc>
          <w:tcPr>
            <w:tcW w:type="dxa" w:w="3213"/>
          </w:tcPr>
          <w:p>
            <w:r>
              <w:rPr>
                <w:sz w:val="21"/>
              </w:rPr>
              <w:t>危险废物产生量</w:t>
            </w:r>
          </w:p>
        </w:tc>
        <w:tc>
          <w:tcPr>
            <w:tcW w:type="dxa" w:w="3213"/>
          </w:tcPr>
          <w:p>
            <w:r>
              <w:rPr>
                <w:sz w:val="21"/>
              </w:rPr>
              <w:t>吨</w:t>
            </w:r>
          </w:p>
        </w:tc>
        <w:tc>
          <w:tcPr>
            <w:tcW w:type="dxa" w:w="3213"/>
          </w:tcPr>
          <w:p>
            <w:r>
              <w:rPr>
                <w:sz w:val="21"/>
              </w:rPr>
            </w:r>
          </w:p>
        </w:tc>
      </w:tr>
    </w:tbl>
    <w:p>
      <w:pPr>
        <w:pStyle w:val="Heading2"/>
      </w:pPr>
      <w:r>
        <w:rPr>
          <w:rFonts w:ascii="等线" w:hAnsi="等线" w:eastAsia="等线"/>
          <w:color w:val="000000"/>
          <w:sz w:val="32"/>
        </w:rPr>
        <w:t>生态系统和生物多样性</w:t>
      </w:r>
    </w:p>
    <w:p>
      <w:pPr>
        <w:jc w:val="left"/>
      </w:pPr>
      <w:r>
        <w:rPr>
          <w:rFonts w:ascii="等线" w:hAnsi="等线" w:eastAsia="等线"/>
          <w:b w:val="0"/>
          <w:sz w:val="21"/>
        </w:rPr>
        <w:t>一、生态保护红线范围内的情况</w:t>
      </w:r>
    </w:p>
    <w:p>
      <w:pPr>
        <w:jc w:val="left"/>
      </w:pPr>
      <w:r>
        <w:rPr>
          <w:rFonts w:ascii="等线" w:hAnsi="等线" w:eastAsia="等线"/>
          <w:b w:val="0"/>
          <w:sz w:val="21"/>
        </w:rPr>
        <w:t>本银行在报告期内积极履行生态保护红线相关责任。经全面排查，未发现有在生态保护红线范围内开展生产经营活动的情况，不存在需要退出生产经营活动或处置相关设施的情形。</w:t>
      </w:r>
    </w:p>
    <w:p>
      <w:pPr>
        <w:jc w:val="left"/>
      </w:pPr>
      <w:r>
        <w:rPr>
          <w:rFonts w:ascii="等线" w:hAnsi="等线" w:eastAsia="等线"/>
          <w:b w:val="0"/>
          <w:sz w:val="21"/>
        </w:rPr>
        <w:t>二、重点区域的保护和恢复措施及效果</w:t>
      </w:r>
    </w:p>
    <w:p>
      <w:pPr>
        <w:jc w:val="left"/>
      </w:pPr>
      <w:r>
        <w:rPr>
          <w:rFonts w:ascii="等线" w:hAnsi="等线" w:eastAsia="等线"/>
          <w:b w:val="0"/>
          <w:sz w:val="21"/>
        </w:rPr>
        <w:t>1. 生产经营场所周边</w:t>
      </w:r>
    </w:p>
    <w:p>
      <w:pPr>
        <w:jc w:val="left"/>
      </w:pPr>
      <w:r>
        <w:rPr>
          <w:rFonts w:ascii="等线" w:hAnsi="等线" w:eastAsia="等线"/>
          <w:b w:val="0"/>
          <w:sz w:val="21"/>
        </w:rPr>
        <w:t>2. 措施：在所有生产经营场所周边，我们制定了严格的环境管理规定。例如，在新建或改造营业网点时，要求施工单位采用低噪音、低粉尘的施工工艺，减少对周边生态环境的干扰。同时，对营业网点周边的绿化进行定期维护，种植本地植物品种，增加植被覆盖率。</w:t>
      </w:r>
    </w:p>
    <w:p>
      <w:pPr>
        <w:jc w:val="left"/>
      </w:pPr>
      <w:r>
        <w:rPr>
          <w:rFonts w:ascii="等线" w:hAnsi="等线" w:eastAsia="等线"/>
          <w:b w:val="0"/>
          <w:sz w:val="21"/>
        </w:rPr>
        <w:t>3. 效果：通过这些措施，营业网点周边的空气质量得到有效改善，噪音水平控制在当地环保标准以内。以</w:t>
      </w:r>
      <w:r>
        <w:rPr>
          <w:rFonts w:ascii="等线" w:hAnsi="等线" w:eastAsia="等线"/>
          <w:b w:val="0"/>
          <w:sz w:val="21"/>
          <w:highlight w:val="yellow"/>
        </w:rPr>
        <w:t>[具体城市]</w:t>
      </w:r>
      <w:r>
        <w:rPr>
          <w:rFonts w:ascii="等线" w:hAnsi="等线" w:eastAsia="等线"/>
          <w:b w:val="0"/>
          <w:sz w:val="21"/>
        </w:rPr>
        <w:t>的</w:t>
      </w:r>
      <w:r>
        <w:rPr>
          <w:rFonts w:ascii="等线" w:hAnsi="等线" w:eastAsia="等线"/>
          <w:b w:val="0"/>
          <w:sz w:val="21"/>
          <w:highlight w:val="yellow"/>
        </w:rPr>
        <w:t>[X]</w:t>
      </w:r>
      <w:r>
        <w:rPr>
          <w:rFonts w:ascii="等线" w:hAnsi="等线" w:eastAsia="等线"/>
          <w:b w:val="0"/>
          <w:sz w:val="21"/>
        </w:rPr>
        <w:t>个营业网点为例，周边植被覆盖率在报告期内提高了</w:t>
      </w:r>
      <w:r>
        <w:rPr>
          <w:rFonts w:ascii="等线" w:hAnsi="等线" w:eastAsia="等线"/>
          <w:b w:val="0"/>
          <w:sz w:val="21"/>
          <w:highlight w:val="yellow"/>
        </w:rPr>
        <w:t>[X]</w:t>
      </w:r>
      <w:r>
        <w:rPr>
          <w:rFonts w:ascii="等线" w:hAnsi="等线" w:eastAsia="等线"/>
          <w:b w:val="0"/>
          <w:sz w:val="21"/>
        </w:rPr>
        <w:t>%，为小型昆虫和鸟类提供了更好的栖息环境。</w:t>
      </w:r>
    </w:p>
    <w:p>
      <w:pPr>
        <w:jc w:val="left"/>
      </w:pPr>
      <w:r>
        <w:rPr>
          <w:rFonts w:ascii="等线" w:hAnsi="等线" w:eastAsia="等线"/>
          <w:b w:val="0"/>
          <w:sz w:val="21"/>
        </w:rPr>
        <w:t>4. 陆地、海洋重点生态功能区、生态保护红线、自然保护地等区域</w:t>
      </w:r>
    </w:p>
    <w:p>
      <w:pPr>
        <w:jc w:val="left"/>
      </w:pPr>
      <w:r>
        <w:rPr>
          <w:rFonts w:ascii="等线" w:hAnsi="等线" w:eastAsia="等线"/>
          <w:b w:val="0"/>
          <w:sz w:val="21"/>
        </w:rPr>
        <w:t>5. 措施：</w:t>
      </w:r>
    </w:p>
    <w:p>
      <w:pPr>
        <w:ind w:left="480"/>
        <w:jc w:val="left"/>
      </w:pPr>
      <w:r>
        <w:rPr>
          <w:rFonts w:ascii="等线" w:hAnsi="等线" w:eastAsia="等线"/>
          <w:b w:val="0"/>
          <w:sz w:val="21"/>
        </w:rPr>
        <w:t>◦ 对于位于陆地重点生态功能区附近的分支机构，我们限制其业务活动中的资源消耗。如减少纸张使用量，推广电子办公，在</w:t>
      </w:r>
      <w:r>
        <w:rPr>
          <w:rFonts w:ascii="等线" w:hAnsi="等线" w:eastAsia="等线"/>
          <w:b w:val="0"/>
          <w:sz w:val="21"/>
          <w:highlight w:val="yellow"/>
        </w:rPr>
        <w:t>[X]</w:t>
      </w:r>
      <w:r>
        <w:rPr>
          <w:rFonts w:ascii="等线" w:hAnsi="等线" w:eastAsia="等线"/>
          <w:b w:val="0"/>
          <w:sz w:val="21"/>
        </w:rPr>
        <w:t>个分支机构中，纸张使用量较上一年度减少了</w:t>
      </w:r>
      <w:r>
        <w:rPr>
          <w:rFonts w:ascii="等线" w:hAnsi="等线" w:eastAsia="等线"/>
          <w:b w:val="0"/>
          <w:sz w:val="21"/>
          <w:highlight w:val="yellow"/>
        </w:rPr>
        <w:t>[X]</w:t>
      </w:r>
      <w:r>
        <w:rPr>
          <w:rFonts w:ascii="等线" w:hAnsi="等线" w:eastAsia="等线"/>
          <w:b w:val="0"/>
          <w:sz w:val="21"/>
        </w:rPr>
        <w:t>吨。</w:t>
      </w:r>
    </w:p>
    <w:p>
      <w:pPr>
        <w:ind w:left="480"/>
        <w:jc w:val="left"/>
      </w:pPr>
      <w:r>
        <w:rPr>
          <w:rFonts w:ascii="等线" w:hAnsi="等线" w:eastAsia="等线"/>
          <w:b w:val="0"/>
          <w:sz w:val="21"/>
        </w:rPr>
        <w:t>◦ 在海洋重点生态功能区附近的业务活动，我们加强对海洋生态保护的宣传。与当地环保组织合作，开展</w:t>
      </w:r>
      <w:r>
        <w:rPr>
          <w:rFonts w:ascii="等线" w:hAnsi="等线" w:eastAsia="等线"/>
          <w:b w:val="0"/>
          <w:sz w:val="21"/>
          <w:highlight w:val="yellow"/>
        </w:rPr>
        <w:t>[X]</w:t>
      </w:r>
      <w:r>
        <w:rPr>
          <w:rFonts w:ascii="等线" w:hAnsi="等线" w:eastAsia="等线"/>
          <w:b w:val="0"/>
          <w:sz w:val="21"/>
        </w:rPr>
        <w:t>次海洋生态保护宣传活动，参与人数达到</w:t>
      </w:r>
      <w:r>
        <w:rPr>
          <w:rFonts w:ascii="等线" w:hAnsi="等线" w:eastAsia="等线"/>
          <w:b w:val="0"/>
          <w:sz w:val="21"/>
          <w:highlight w:val="yellow"/>
        </w:rPr>
        <w:t>[X]</w:t>
      </w:r>
      <w:r>
        <w:rPr>
          <w:rFonts w:ascii="等线" w:hAnsi="等线" w:eastAsia="等线"/>
          <w:b w:val="0"/>
          <w:sz w:val="21"/>
        </w:rPr>
        <w:t>人。</w:t>
      </w:r>
    </w:p>
    <w:p>
      <w:pPr>
        <w:jc w:val="left"/>
      </w:pPr>
      <w:r>
        <w:rPr>
          <w:rFonts w:ascii="等线" w:hAnsi="等线" w:eastAsia="等线"/>
          <w:b w:val="0"/>
          <w:sz w:val="21"/>
        </w:rPr>
        <w:t>6. 效果：在陆地重点生态功能区附近，由于资源消耗的减少，间接减少了对周边生态系统的压力。在海洋重点生态功能区附近，通过宣传活动，当地居民对海洋生态保护的意识提高了</w:t>
      </w:r>
      <w:r>
        <w:rPr>
          <w:rFonts w:ascii="等线" w:hAnsi="等线" w:eastAsia="等线"/>
          <w:b w:val="0"/>
          <w:sz w:val="21"/>
          <w:highlight w:val="yellow"/>
        </w:rPr>
        <w:t>[X]</w:t>
      </w:r>
      <w:r>
        <w:rPr>
          <w:rFonts w:ascii="等线" w:hAnsi="等线" w:eastAsia="等线"/>
          <w:b w:val="0"/>
          <w:sz w:val="21"/>
        </w:rPr>
        <w:t>%，海滩垃圾清理志愿者活动的参与人数也显著增加。</w:t>
      </w:r>
    </w:p>
    <w:p>
      <w:pPr>
        <w:jc w:val="left"/>
      </w:pPr>
      <w:r>
        <w:rPr>
          <w:rFonts w:ascii="等线" w:hAnsi="等线" w:eastAsia="等线"/>
          <w:b w:val="0"/>
          <w:sz w:val="21"/>
        </w:rPr>
        <w:t>三、野生动植物保护和自然栖息地保护恢复措施及效果</w:t>
      </w:r>
    </w:p>
    <w:p>
      <w:pPr>
        <w:jc w:val="left"/>
      </w:pPr>
      <w:r>
        <w:rPr>
          <w:rFonts w:ascii="等线" w:hAnsi="等线" w:eastAsia="等线"/>
          <w:b w:val="0"/>
          <w:sz w:val="21"/>
        </w:rPr>
        <w:t>1. 野生动植物保护</w:t>
      </w:r>
    </w:p>
    <w:p>
      <w:pPr>
        <w:jc w:val="left"/>
      </w:pPr>
      <w:r>
        <w:rPr>
          <w:rFonts w:ascii="等线" w:hAnsi="等线" w:eastAsia="等线"/>
          <w:b w:val="0"/>
          <w:sz w:val="21"/>
        </w:rPr>
        <w:t>2. 措施：在银行的园区和办公区域内，禁止非法猎捕、采集野生动植物。同时，在有条件的营业网点设置野生动植物保护宣传展板，向客户和员工宣传野生动植物保护知识。</w:t>
      </w:r>
    </w:p>
    <w:p>
      <w:pPr>
        <w:jc w:val="left"/>
      </w:pPr>
      <w:r>
        <w:rPr>
          <w:rFonts w:ascii="等线" w:hAnsi="等线" w:eastAsia="等线"/>
          <w:b w:val="0"/>
          <w:sz w:val="21"/>
        </w:rPr>
        <w:t>3. 效果：报告期内，银行园区内未发生野生动植物非法猎捕或采集事件。通过宣传活动，员工和客户对野生动植物保护的认知度提高了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4. 自然栖息地保护恢复</w:t>
      </w:r>
    </w:p>
    <w:p>
      <w:pPr>
        <w:jc w:val="left"/>
      </w:pPr>
      <w:r>
        <w:rPr>
          <w:rFonts w:ascii="等线" w:hAnsi="等线" w:eastAsia="等线"/>
          <w:b w:val="0"/>
          <w:sz w:val="21"/>
        </w:rPr>
        <w:t>5. 措施：我们参与了</w:t>
      </w:r>
      <w:r>
        <w:rPr>
          <w:rFonts w:ascii="等线" w:hAnsi="等线" w:eastAsia="等线"/>
          <w:b w:val="0"/>
          <w:sz w:val="21"/>
          <w:highlight w:val="yellow"/>
        </w:rPr>
        <w:t>[X]</w:t>
      </w:r>
      <w:r>
        <w:rPr>
          <w:rFonts w:ascii="等线" w:hAnsi="等线" w:eastAsia="等线"/>
          <w:b w:val="0"/>
          <w:sz w:val="21"/>
        </w:rPr>
        <w:t>个自然栖息地保护项目的资助，总资助金额达到</w:t>
      </w:r>
      <w:r>
        <w:rPr>
          <w:rFonts w:ascii="等线" w:hAnsi="等线" w:eastAsia="等线"/>
          <w:b w:val="0"/>
          <w:sz w:val="21"/>
          <w:highlight w:val="yellow"/>
        </w:rPr>
        <w:t>[X]</w:t>
      </w:r>
      <w:r>
        <w:rPr>
          <w:rFonts w:ascii="等线" w:hAnsi="等线" w:eastAsia="等线"/>
          <w:b w:val="0"/>
          <w:sz w:val="21"/>
        </w:rPr>
        <w:t>美元。这些项目主要针对湿地和森林栖息地的恢复工作。</w:t>
      </w:r>
    </w:p>
    <w:p>
      <w:pPr>
        <w:jc w:val="left"/>
      </w:pPr>
      <w:r>
        <w:rPr>
          <w:rFonts w:ascii="等线" w:hAnsi="等线" w:eastAsia="等线"/>
          <w:b w:val="0"/>
          <w:sz w:val="21"/>
        </w:rPr>
        <w:t>6. 效果：在资助的湿地恢复项目中，湿地面积增加了</w:t>
      </w:r>
      <w:r>
        <w:rPr>
          <w:rFonts w:ascii="等线" w:hAnsi="等线" w:eastAsia="等线"/>
          <w:b w:val="0"/>
          <w:sz w:val="21"/>
          <w:highlight w:val="yellow"/>
        </w:rPr>
        <w:t>[X]</w:t>
      </w:r>
      <w:r>
        <w:rPr>
          <w:rFonts w:ascii="等线" w:hAnsi="等线" w:eastAsia="等线"/>
          <w:b w:val="0"/>
          <w:sz w:val="21"/>
        </w:rPr>
        <w:t>平方米，为多种鸟类和水生生物提供了更好的栖息和繁殖场所。</w:t>
      </w:r>
    </w:p>
    <w:p>
      <w:pPr>
        <w:jc w:val="left"/>
      </w:pPr>
      <w:r>
        <w:rPr>
          <w:rFonts w:ascii="等线" w:hAnsi="等线" w:eastAsia="等线"/>
          <w:b w:val="0"/>
          <w:sz w:val="21"/>
        </w:rPr>
        <w:t>四、生物遗传资源相关措施及效果</w:t>
      </w:r>
    </w:p>
    <w:p>
      <w:pPr>
        <w:jc w:val="left"/>
      </w:pPr>
      <w:r>
        <w:rPr>
          <w:rFonts w:ascii="等线" w:hAnsi="等线" w:eastAsia="等线"/>
          <w:b w:val="0"/>
          <w:sz w:val="21"/>
        </w:rPr>
        <w:t>1. 保护、可持续利用和获取与惠益分享</w:t>
      </w:r>
    </w:p>
    <w:p>
      <w:pPr>
        <w:jc w:val="left"/>
      </w:pPr>
      <w:r>
        <w:rPr>
          <w:rFonts w:ascii="等线" w:hAnsi="等线" w:eastAsia="等线"/>
          <w:b w:val="0"/>
          <w:sz w:val="21"/>
        </w:rPr>
        <w:t>2. 措施：在业务活动中，严格遵守国际生物遗传资源相关公约和国内法律法规。对于涉及生物遗传资源的项目融资，进行严格的环境风险评估，确保项目符合可持续利用原则。</w:t>
      </w:r>
    </w:p>
    <w:p>
      <w:pPr>
        <w:jc w:val="left"/>
      </w:pPr>
      <w:r>
        <w:rPr>
          <w:rFonts w:ascii="等线" w:hAnsi="等线" w:eastAsia="等线"/>
          <w:b w:val="0"/>
          <w:sz w:val="21"/>
        </w:rPr>
        <w:t>3. 效果：在报告期内，涉及生物遗传资源的项目融资中，</w:t>
      </w:r>
      <w:r>
        <w:rPr>
          <w:rFonts w:ascii="等线" w:hAnsi="等线" w:eastAsia="等线"/>
          <w:b w:val="0"/>
          <w:sz w:val="21"/>
          <w:highlight w:val="yellow"/>
        </w:rPr>
        <w:t>[X]</w:t>
      </w:r>
      <w:r>
        <w:rPr>
          <w:rFonts w:ascii="等线" w:hAnsi="等线" w:eastAsia="等线"/>
          <w:b w:val="0"/>
          <w:sz w:val="21"/>
        </w:rPr>
        <w:t>%的项目通过了严格的环境风险评估，未发现有违反生物遗传资源保护相关规定的情况。</w:t>
      </w:r>
    </w:p>
    <w:p>
      <w:pPr>
        <w:jc w:val="left"/>
      </w:pPr>
      <w:r>
        <w:rPr>
          <w:rFonts w:ascii="等线" w:hAnsi="等线" w:eastAsia="等线"/>
          <w:b w:val="0"/>
          <w:sz w:val="21"/>
        </w:rPr>
        <w:t>4. 监测预警和风险管理</w:t>
      </w:r>
    </w:p>
    <w:p>
      <w:pPr>
        <w:jc w:val="left"/>
      </w:pPr>
      <w:r>
        <w:rPr>
          <w:rFonts w:ascii="等线" w:hAnsi="等线" w:eastAsia="等线"/>
          <w:b w:val="0"/>
          <w:sz w:val="21"/>
        </w:rPr>
        <w:t>5. 措施：建立了生物遗传资源风险监测体系，定期对相关业务进行风险评估。例如，每季度对涉及生物制药等行业的贷款业务进行一次生物遗传资源风险评估。</w:t>
      </w:r>
    </w:p>
    <w:p>
      <w:pPr>
        <w:jc w:val="left"/>
      </w:pPr>
      <w:r>
        <w:rPr>
          <w:rFonts w:ascii="等线" w:hAnsi="等线" w:eastAsia="等线"/>
          <w:b w:val="0"/>
          <w:sz w:val="21"/>
        </w:rPr>
        <w:t>6. 效果：通过监测预警体系，及时发现并调整了</w:t>
      </w:r>
      <w:r>
        <w:rPr>
          <w:rFonts w:ascii="等线" w:hAnsi="等线" w:eastAsia="等线"/>
          <w:b w:val="0"/>
          <w:sz w:val="21"/>
          <w:highlight w:val="yellow"/>
        </w:rPr>
        <w:t>[X]</w:t>
      </w:r>
      <w:r>
        <w:rPr>
          <w:rFonts w:ascii="等线" w:hAnsi="等线" w:eastAsia="等线"/>
          <w:b w:val="0"/>
          <w:sz w:val="21"/>
        </w:rPr>
        <w:t>笔可能存在生物遗传资源风险的贷款业务，有效降低了银行在生物遗传资源方面的风险暴露。</w:t>
      </w:r>
    </w:p>
    <w:p>
      <w:pPr>
        <w:jc w:val="left"/>
      </w:pPr>
      <w:r>
        <w:rPr>
          <w:rFonts w:ascii="等线" w:hAnsi="等线" w:eastAsia="等线"/>
          <w:b w:val="0"/>
          <w:sz w:val="21"/>
        </w:rPr>
        <w:t>五、降低产品全生命周期影响和依赖的行动及效果</w:t>
      </w:r>
    </w:p>
    <w:p>
      <w:pPr>
        <w:jc w:val="left"/>
      </w:pPr>
      <w:r>
        <w:rPr>
          <w:rFonts w:ascii="等线" w:hAnsi="等线" w:eastAsia="等线"/>
          <w:b w:val="0"/>
          <w:sz w:val="21"/>
        </w:rPr>
        <w:t>1. 行动</w:t>
      </w:r>
    </w:p>
    <w:p>
      <w:pPr>
        <w:jc w:val="left"/>
      </w:pPr>
      <w:r>
        <w:rPr>
          <w:rFonts w:ascii="等线" w:hAnsi="等线" w:eastAsia="等线"/>
          <w:b w:val="0"/>
          <w:sz w:val="21"/>
        </w:rPr>
        <w:t>2. 在产品设计阶段，考虑产品的环境影响。例如，推广电子银行产品，减少实体银行卡的发行。同时，优化银行服务流程，减少客户办理业务过程中的能源消耗和纸张使用。</w:t>
      </w:r>
    </w:p>
    <w:p>
      <w:pPr>
        <w:jc w:val="left"/>
      </w:pPr>
      <w:r>
        <w:rPr>
          <w:rFonts w:ascii="等线" w:hAnsi="等线" w:eastAsia="等线"/>
          <w:b w:val="0"/>
          <w:sz w:val="21"/>
        </w:rPr>
        <w:t>3. 在产品使用阶段，鼓励客户采用环保的方式使用银行服务，如通过手机银行办理业务，减少前往营业网点的交通碳排放。</w:t>
      </w:r>
    </w:p>
    <w:p>
      <w:pPr>
        <w:jc w:val="left"/>
      </w:pPr>
      <w:r>
        <w:rPr>
          <w:rFonts w:ascii="等线" w:hAnsi="等线" w:eastAsia="等线"/>
          <w:b w:val="0"/>
          <w:sz w:val="21"/>
        </w:rPr>
        <w:t>4. 效果</w:t>
      </w:r>
    </w:p>
    <w:p>
      <w:pPr>
        <w:jc w:val="left"/>
      </w:pPr>
      <w:r>
        <w:rPr>
          <w:rFonts w:ascii="等线" w:hAnsi="等线" w:eastAsia="等线"/>
          <w:b w:val="0"/>
          <w:sz w:val="21"/>
        </w:rPr>
        <w:t>5. 实体银行卡发行量较上一年度减少了</w:t>
      </w:r>
      <w:r>
        <w:rPr>
          <w:rFonts w:ascii="等线" w:hAnsi="等线" w:eastAsia="等线"/>
          <w:b w:val="0"/>
          <w:sz w:val="21"/>
          <w:highlight w:val="yellow"/>
        </w:rPr>
        <w:t>[X]</w:t>
      </w:r>
      <w:r>
        <w:rPr>
          <w:rFonts w:ascii="等线" w:hAnsi="等线" w:eastAsia="等线"/>
          <w:b w:val="0"/>
          <w:sz w:val="21"/>
        </w:rPr>
        <w:t>张，电子银行用户活跃度提高了</w:t>
      </w:r>
      <w:r>
        <w:rPr>
          <w:rFonts w:ascii="等线" w:hAnsi="等线" w:eastAsia="等线"/>
          <w:b w:val="0"/>
          <w:sz w:val="21"/>
          <w:highlight w:val="yellow"/>
        </w:rPr>
        <w:t>[X]</w:t>
      </w:r>
      <w:r>
        <w:rPr>
          <w:rFonts w:ascii="等线" w:hAnsi="等线" w:eastAsia="等线"/>
          <w:b w:val="0"/>
          <w:sz w:val="21"/>
        </w:rPr>
        <w:t>%。通过客户行为的引导，估计减少了</w:t>
      </w:r>
      <w:r>
        <w:rPr>
          <w:rFonts w:ascii="等线" w:hAnsi="等线" w:eastAsia="等线"/>
          <w:b w:val="0"/>
          <w:sz w:val="21"/>
          <w:highlight w:val="yellow"/>
        </w:rPr>
        <w:t>[X]</w:t>
      </w:r>
      <w:r>
        <w:rPr>
          <w:rFonts w:ascii="等线" w:hAnsi="等线" w:eastAsia="等线"/>
          <w:b w:val="0"/>
          <w:sz w:val="21"/>
        </w:rPr>
        <w:t>吨二氧化碳排放，减少纸张使用量</w:t>
      </w:r>
      <w:r>
        <w:rPr>
          <w:rFonts w:ascii="等线" w:hAnsi="等线" w:eastAsia="等线"/>
          <w:b w:val="0"/>
          <w:sz w:val="21"/>
          <w:highlight w:val="yellow"/>
        </w:rPr>
        <w:t>[X]</w:t>
      </w:r>
      <w:r>
        <w:rPr>
          <w:rFonts w:ascii="等线" w:hAnsi="等线" w:eastAsia="等线"/>
          <w:b w:val="0"/>
          <w:sz w:val="21"/>
        </w:rPr>
        <w:t>吨，降低了对生态系统和生物资源的潜在影响。</w:t>
      </w:r>
    </w:p>
    <w:p>
      <w:pPr>
        <w:pStyle w:val="Heading2"/>
      </w:pPr>
      <w:r>
        <w:rPr>
          <w:rFonts w:ascii="等线" w:hAnsi="等线" w:eastAsia="等线"/>
          <w:color w:val="000000"/>
          <w:sz w:val="32"/>
        </w:rPr>
        <w:t>环境合规管理</w:t>
      </w:r>
    </w:p>
    <w:p>
      <w:pPr>
        <w:jc w:val="left"/>
      </w:pPr>
      <w:r>
        <w:rPr>
          <w:rFonts w:ascii="等线" w:hAnsi="等线" w:eastAsia="等线"/>
          <w:b w:val="0"/>
          <w:sz w:val="21"/>
        </w:rPr>
        <w:t>一、环境事件风险评估与管理措施</w:t>
      </w:r>
    </w:p>
    <w:p>
      <w:pPr>
        <w:jc w:val="left"/>
      </w:pPr>
      <w:r>
        <w:rPr>
          <w:rFonts w:ascii="等线" w:hAnsi="等线" w:eastAsia="等线"/>
          <w:b w:val="0"/>
          <w:sz w:val="21"/>
        </w:rPr>
        <w:t>本银行高度重视环境事件风险评估与管理。通过内部专业团队与外部环境专家合作，对可能面临的环境风险进行全面评估。我们采用量化的环境风险评估矩阵，从风险发生的可能性（以概率形式表示，如0 - 100%）和风险一旦发生的潜在影响程度（以对业务运营、财务状况、声誉等方面的预估损失金额衡量）两个维度进行评估。</w:t>
      </w:r>
    </w:p>
    <w:p>
      <w:pPr>
        <w:jc w:val="left"/>
      </w:pPr>
      <w:r>
        <w:rPr>
          <w:rFonts w:ascii="等线" w:hAnsi="等线" w:eastAsia="等线"/>
          <w:b w:val="0"/>
          <w:sz w:val="21"/>
        </w:rPr>
        <w:t>在预防风险的管理措施方面，我们制定了严格的环境政策，要求所有分行及业务部门遵循。例如，在新网点建设过程中，确保建设项目符合当地环境法规要求，通过环境影响评价的比例达到100%。对于与环境相关的业务贷款，设立专门的环境风险审查流程，审查通过率低于</w:t>
      </w:r>
      <w:r>
        <w:rPr>
          <w:rFonts w:ascii="等线" w:hAnsi="等线" w:eastAsia="等线"/>
          <w:b w:val="0"/>
          <w:sz w:val="21"/>
          <w:highlight w:val="yellow"/>
        </w:rPr>
        <w:t>[X]</w:t>
      </w:r>
      <w:r>
        <w:rPr>
          <w:rFonts w:ascii="等线" w:hAnsi="等线" w:eastAsia="等线"/>
          <w:b w:val="0"/>
          <w:sz w:val="21"/>
        </w:rPr>
        <w:t>%的项目将不予贷款，以从源头上避免对环境有重大风险的项目获得资金支持。</w:t>
      </w:r>
    </w:p>
    <w:p>
      <w:pPr>
        <w:jc w:val="left"/>
      </w:pPr>
      <w:r>
        <w:rPr>
          <w:rFonts w:ascii="等线" w:hAnsi="等线" w:eastAsia="等线"/>
          <w:b w:val="0"/>
          <w:sz w:val="21"/>
        </w:rPr>
        <w:t>同时，我们制定了突发环境事件应急预案。应急预案涵盖了从事件预警、应急响应到后期恢复的全过程。我们明确了应急响应小组的组成和职责，确保在事件发生后的</w:t>
      </w:r>
      <w:r>
        <w:rPr>
          <w:rFonts w:ascii="等线" w:hAnsi="等线" w:eastAsia="等线"/>
          <w:b w:val="0"/>
          <w:sz w:val="21"/>
          <w:highlight w:val="yellow"/>
        </w:rPr>
        <w:t>[X]</w:t>
      </w:r>
      <w:r>
        <w:rPr>
          <w:rFonts w:ascii="等线" w:hAnsi="等线" w:eastAsia="等线"/>
          <w:b w:val="0"/>
          <w:sz w:val="21"/>
        </w:rPr>
        <w:t>小时内能够启动应急响应机制。应急资源储备充足，包括应急设备（如污染处理设备等）的储备率达到</w:t>
      </w:r>
      <w:r>
        <w:rPr>
          <w:rFonts w:ascii="等线" w:hAnsi="等线" w:eastAsia="等线"/>
          <w:b w:val="0"/>
          <w:sz w:val="21"/>
          <w:highlight w:val="yellow"/>
        </w:rPr>
        <w:t>[X]</w:t>
      </w:r>
      <w:r>
        <w:rPr>
          <w:rFonts w:ascii="等线" w:hAnsi="等线" w:eastAsia="等线"/>
          <w:b w:val="0"/>
          <w:sz w:val="21"/>
        </w:rPr>
        <w:t>%，应急资金专款专用，储备金额不低于</w:t>
      </w:r>
      <w:r>
        <w:rPr>
          <w:rFonts w:ascii="等线" w:hAnsi="等线" w:eastAsia="等线"/>
          <w:b w:val="0"/>
          <w:sz w:val="21"/>
          <w:highlight w:val="yellow"/>
        </w:rPr>
        <w:t>[具体金额]</w:t>
      </w:r>
      <w:r>
        <w:rPr>
          <w:rFonts w:ascii="等线" w:hAnsi="等线" w:eastAsia="等线"/>
          <w:b w:val="0"/>
          <w:sz w:val="21"/>
        </w:rPr>
        <w:t>美元。</w:t>
      </w:r>
    </w:p>
    <w:p>
      <w:pPr>
        <w:jc w:val="left"/>
      </w:pPr>
      <w:r>
        <w:rPr>
          <w:rFonts w:ascii="等线" w:hAnsi="等线" w:eastAsia="等线"/>
          <w:b w:val="0"/>
          <w:sz w:val="21"/>
        </w:rPr>
        <w:t>二、报告期内突发重大环境事件情况</w:t>
      </w:r>
    </w:p>
    <w:p>
      <w:pPr>
        <w:jc w:val="left"/>
      </w:pPr>
      <w:r>
        <w:rPr>
          <w:rFonts w:ascii="等线" w:hAnsi="等线" w:eastAsia="等线"/>
          <w:b w:val="0"/>
          <w:sz w:val="21"/>
        </w:rPr>
        <w:t>报告期内，本银行未发生突发重大环境事件。但我们始终保持警惕，不断完善应急预案和提升应急能力。</w:t>
      </w:r>
    </w:p>
    <w:p>
      <w:pPr>
        <w:jc w:val="left"/>
      </w:pPr>
      <w:r>
        <w:rPr>
          <w:rFonts w:ascii="等线" w:hAnsi="等线" w:eastAsia="等线"/>
          <w:b w:val="0"/>
          <w:sz w:val="21"/>
        </w:rPr>
        <w:t>三、报告期内环境事件处罚情况</w:t>
      </w:r>
    </w:p>
    <w:p>
      <w:pPr>
        <w:jc w:val="left"/>
      </w:pPr>
      <w:r>
        <w:rPr>
          <w:rFonts w:ascii="等线" w:hAnsi="等线" w:eastAsia="等线"/>
          <w:b w:val="0"/>
          <w:sz w:val="21"/>
        </w:rPr>
        <w:t>报告期内，本银行未因环境事件受到生态环境等有关部门重大行政处罚或被追究刑事责任。这得益于我们严格的内部环境合规管理体系。我们定期开展内部环境合规审计，审计覆盖率达到100%。在内部培训方面，每年组织环境合规培训课程，培训员工人数占总员工数的比例达到</w:t>
      </w:r>
      <w:r>
        <w:rPr>
          <w:rFonts w:ascii="等线" w:hAnsi="等线" w:eastAsia="等线"/>
          <w:b w:val="0"/>
          <w:sz w:val="21"/>
          <w:highlight w:val="yellow"/>
        </w:rPr>
        <w:t>[X]</w:t>
      </w:r>
      <w:r>
        <w:rPr>
          <w:rFonts w:ascii="等线" w:hAnsi="等线" w:eastAsia="等线"/>
          <w:b w:val="0"/>
          <w:sz w:val="21"/>
        </w:rPr>
        <w:t>%以上，确保全体员工了解环境法规要求并遵守相关规定。</w:t>
      </w:r>
    </w:p>
    <w:p>
      <w:pPr>
        <w:jc w:val="left"/>
      </w:pPr>
      <w:r>
        <w:rPr>
          <w:rFonts w:ascii="等线" w:hAnsi="等线" w:eastAsia="等线"/>
          <w:b w:val="0"/>
          <w:sz w:val="21"/>
        </w:rPr>
        <w:t>在业务流程中，我们建立了严格的环境合规监测机制。例如，对涉及环境敏感行业的贷款业务，每月进行一次环境合规性复查，复查不合格率低于</w:t>
      </w:r>
      <w:r>
        <w:rPr>
          <w:rFonts w:ascii="等线" w:hAnsi="等线" w:eastAsia="等线"/>
          <w:b w:val="0"/>
          <w:sz w:val="21"/>
          <w:highlight w:val="yellow"/>
        </w:rPr>
        <w:t>[X]</w:t>
      </w:r>
      <w:r>
        <w:rPr>
          <w:rFonts w:ascii="等线" w:hAnsi="等线" w:eastAsia="等线"/>
          <w:b w:val="0"/>
          <w:sz w:val="21"/>
        </w:rPr>
        <w:t>%。如果发现任何潜在的环境合规风险，我们会立即采取整改措施，整改完成率达到100%，以确保始终符合环境法规要求，维护企业的良好声誉和可持续发展。</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与环境或生态问题相关的罚款金额</w:t>
            </w:r>
          </w:p>
        </w:tc>
        <w:tc>
          <w:tcPr>
            <w:tcW w:type="dxa" w:w="3213"/>
          </w:tcPr>
          <w:p>
            <w:r>
              <w:rPr>
                <w:sz w:val="21"/>
              </w:rPr>
              <w:t>万元</w:t>
            </w:r>
          </w:p>
        </w:tc>
        <w:tc>
          <w:tcPr>
            <w:tcW w:type="dxa" w:w="3213"/>
          </w:tcPr>
          <w:p>
            <w:r>
              <w:rPr>
                <w:sz w:val="21"/>
              </w:rPr>
            </w:r>
          </w:p>
        </w:tc>
      </w:tr>
      <w:tr>
        <w:tc>
          <w:tcPr>
            <w:tcW w:type="dxa" w:w="3213"/>
          </w:tcPr>
          <w:p>
            <w:r>
              <w:rPr>
                <w:sz w:val="21"/>
              </w:rPr>
              <w:t>全年污染事故发生数</w:t>
            </w:r>
          </w:p>
        </w:tc>
        <w:tc>
          <w:tcPr>
            <w:tcW w:type="dxa" w:w="3213"/>
          </w:tcPr>
          <w:p>
            <w:r>
              <w:rPr>
                <w:sz w:val="21"/>
              </w:rPr>
              <w:t>次</w:t>
            </w:r>
          </w:p>
        </w:tc>
        <w:tc>
          <w:tcPr>
            <w:tcW w:type="dxa" w:w="3213"/>
          </w:tcPr>
          <w:p>
            <w:r>
              <w:rPr>
                <w:sz w:val="21"/>
              </w:rPr>
            </w:r>
          </w:p>
        </w:tc>
      </w:tr>
      <w:tr>
        <w:tc>
          <w:tcPr>
            <w:tcW w:type="dxa" w:w="3213"/>
          </w:tcPr>
          <w:p>
            <w:r>
              <w:rPr>
                <w:sz w:val="21"/>
              </w:rPr>
              <w:t>违反环境或生态相关法律法规的次数</w:t>
            </w:r>
          </w:p>
        </w:tc>
        <w:tc>
          <w:tcPr>
            <w:tcW w:type="dxa" w:w="3213"/>
          </w:tcPr>
          <w:p>
            <w:r>
              <w:rPr>
                <w:sz w:val="21"/>
              </w:rPr>
              <w:t>次</w:t>
            </w:r>
          </w:p>
        </w:tc>
        <w:tc>
          <w:tcPr>
            <w:tcW w:type="dxa" w:w="3213"/>
          </w:tcPr>
          <w:p>
            <w:r>
              <w:rPr>
                <w:sz w:val="21"/>
              </w:rPr>
            </w:r>
          </w:p>
        </w:tc>
      </w:tr>
    </w:tbl>
    <w:p>
      <w:pPr>
        <w:pStyle w:val="Heading2"/>
      </w:pPr>
      <w:r>
        <w:rPr>
          <w:rFonts w:ascii="等线" w:hAnsi="等线" w:eastAsia="等线"/>
          <w:color w:val="000000"/>
          <w:sz w:val="32"/>
        </w:rPr>
        <w:t>能源利用</w:t>
      </w:r>
    </w:p>
    <w:p>
      <w:pPr>
        <w:jc w:val="left"/>
      </w:pPr>
      <w:r>
        <w:rPr>
          <w:rFonts w:ascii="等线" w:hAnsi="等线" w:eastAsia="等线"/>
          <w:b w:val="0"/>
          <w:sz w:val="21"/>
        </w:rPr>
        <w:t>一、能源使用的基本情况</w:t>
      </w:r>
    </w:p>
    <w:p>
      <w:pPr>
        <w:jc w:val="left"/>
      </w:pPr>
      <w:r>
        <w:rPr>
          <w:rFonts w:ascii="等线" w:hAnsi="等线" w:eastAsia="等线"/>
          <w:b w:val="0"/>
          <w:sz w:val="21"/>
        </w:rPr>
        <w:t>1. 总能耗量及结构</w:t>
      </w:r>
    </w:p>
    <w:p>
      <w:pPr>
        <w:jc w:val="left"/>
      </w:pPr>
      <w:r>
        <w:rPr>
          <w:rFonts w:ascii="等线" w:hAnsi="等线" w:eastAsia="等线"/>
          <w:b w:val="0"/>
          <w:sz w:val="21"/>
        </w:rPr>
        <w:t>2. 在报告期内，本银行企业的直接及间接能源总能耗量为</w:t>
      </w:r>
      <w:r>
        <w:rPr>
          <w:rFonts w:ascii="等线" w:hAnsi="等线" w:eastAsia="等线"/>
          <w:b w:val="0"/>
          <w:sz w:val="21"/>
          <w:highlight w:val="yellow"/>
        </w:rPr>
        <w:t>[X]</w:t>
      </w:r>
      <w:r>
        <w:rPr>
          <w:rFonts w:ascii="等线" w:hAnsi="等线" w:eastAsia="等线"/>
          <w:b w:val="0"/>
          <w:sz w:val="21"/>
        </w:rPr>
        <w:t>吨标准煤。其中，煤炭能耗量为</w:t>
      </w:r>
      <w:r>
        <w:rPr>
          <w:rFonts w:ascii="等线" w:hAnsi="等线" w:eastAsia="等线"/>
          <w:b w:val="0"/>
          <w:sz w:val="21"/>
          <w:highlight w:val="yellow"/>
        </w:rPr>
        <w:t>[X1]</w:t>
      </w:r>
      <w:r>
        <w:rPr>
          <w:rFonts w:ascii="等线" w:hAnsi="等线" w:eastAsia="等线"/>
          <w:b w:val="0"/>
          <w:sz w:val="21"/>
        </w:rPr>
        <w:t>吨标准煤，占总能耗的</w:t>
      </w:r>
      <w:r>
        <w:rPr>
          <w:rFonts w:ascii="等线" w:hAnsi="等线" w:eastAsia="等线"/>
          <w:b w:val="0"/>
          <w:sz w:val="21"/>
          <w:highlight w:val="yellow"/>
        </w:rPr>
        <w:t>[X1%]</w:t>
      </w:r>
      <w:r>
        <w:rPr>
          <w:rFonts w:ascii="等线" w:hAnsi="等线" w:eastAsia="等线"/>
          <w:b w:val="0"/>
          <w:sz w:val="21"/>
        </w:rPr>
        <w:t>；电力能耗量为</w:t>
      </w:r>
      <w:r>
        <w:rPr>
          <w:rFonts w:ascii="等线" w:hAnsi="等线" w:eastAsia="等线"/>
          <w:b w:val="0"/>
          <w:sz w:val="21"/>
          <w:highlight w:val="yellow"/>
        </w:rPr>
        <w:t>[X2]</w:t>
      </w:r>
      <w:r>
        <w:rPr>
          <w:rFonts w:ascii="等线" w:hAnsi="等线" w:eastAsia="等线"/>
          <w:b w:val="0"/>
          <w:sz w:val="21"/>
        </w:rPr>
        <w:t>吨标准煤（根据电力折标系数换算），占比</w:t>
      </w:r>
      <w:r>
        <w:rPr>
          <w:rFonts w:ascii="等线" w:hAnsi="等线" w:eastAsia="等线"/>
          <w:b w:val="0"/>
          <w:sz w:val="21"/>
          <w:highlight w:val="yellow"/>
        </w:rPr>
        <w:t>[X2%]</w:t>
      </w:r>
      <w:r>
        <w:rPr>
          <w:rFonts w:ascii="等线" w:hAnsi="等线" w:eastAsia="等线"/>
          <w:b w:val="0"/>
          <w:sz w:val="21"/>
        </w:rPr>
        <w:t>；天然气能耗量为</w:t>
      </w:r>
      <w:r>
        <w:rPr>
          <w:rFonts w:ascii="等线" w:hAnsi="等线" w:eastAsia="等线"/>
          <w:b w:val="0"/>
          <w:sz w:val="21"/>
          <w:highlight w:val="yellow"/>
        </w:rPr>
        <w:t>[X3]</w:t>
      </w:r>
      <w:r>
        <w:rPr>
          <w:rFonts w:ascii="等线" w:hAnsi="等线" w:eastAsia="等线"/>
          <w:b w:val="0"/>
          <w:sz w:val="21"/>
        </w:rPr>
        <w:t>吨标准煤，占比</w:t>
      </w:r>
      <w:r>
        <w:rPr>
          <w:rFonts w:ascii="等线" w:hAnsi="等线" w:eastAsia="等线"/>
          <w:b w:val="0"/>
          <w:sz w:val="21"/>
          <w:highlight w:val="yellow"/>
        </w:rPr>
        <w:t>[X3%]</w:t>
      </w:r>
      <w:r>
        <w:rPr>
          <w:rFonts w:ascii="等线" w:hAnsi="等线" w:eastAsia="等线"/>
          <w:b w:val="0"/>
          <w:sz w:val="21"/>
        </w:rPr>
        <w:t>；燃油能耗量为</w:t>
      </w:r>
      <w:r>
        <w:rPr>
          <w:rFonts w:ascii="等线" w:hAnsi="等线" w:eastAsia="等线"/>
          <w:b w:val="0"/>
          <w:sz w:val="21"/>
          <w:highlight w:val="yellow"/>
        </w:rPr>
        <w:t>[X4]</w:t>
      </w:r>
      <w:r>
        <w:rPr>
          <w:rFonts w:ascii="等线" w:hAnsi="等线" w:eastAsia="等线"/>
          <w:b w:val="0"/>
          <w:sz w:val="21"/>
        </w:rPr>
        <w:t>吨标准煤，占比</w:t>
      </w:r>
      <w:r>
        <w:rPr>
          <w:rFonts w:ascii="等线" w:hAnsi="等线" w:eastAsia="等线"/>
          <w:b w:val="0"/>
          <w:sz w:val="21"/>
          <w:highlight w:val="yellow"/>
        </w:rPr>
        <w:t>[X4%]</w:t>
      </w:r>
      <w:r>
        <w:rPr>
          <w:rFonts w:ascii="等线" w:hAnsi="等线" w:eastAsia="等线"/>
          <w:b w:val="0"/>
          <w:sz w:val="21"/>
        </w:rPr>
        <w:t>。</w:t>
      </w:r>
    </w:p>
    <w:p>
      <w:pPr>
        <w:jc w:val="left"/>
      </w:pPr>
      <w:r>
        <w:rPr>
          <w:rFonts w:ascii="等线" w:hAnsi="等线" w:eastAsia="等线"/>
          <w:b w:val="0"/>
          <w:sz w:val="21"/>
        </w:rPr>
        <w:t>3. 总能耗强度</w:t>
      </w:r>
    </w:p>
    <w:p>
      <w:pPr>
        <w:jc w:val="left"/>
      </w:pPr>
      <w:r>
        <w:rPr>
          <w:rFonts w:ascii="等线" w:hAnsi="等线" w:eastAsia="等线"/>
          <w:b w:val="0"/>
          <w:sz w:val="21"/>
        </w:rPr>
        <w:t>4. 以每业务交易单位计算（例如每笔贷款业务或每万元营业收入等，根据企业实际业务确定），总能耗强度为</w:t>
      </w:r>
      <w:r>
        <w:rPr>
          <w:rFonts w:ascii="等线" w:hAnsi="等线" w:eastAsia="等线"/>
          <w:b w:val="0"/>
          <w:sz w:val="21"/>
          <w:highlight w:val="yellow"/>
        </w:rPr>
        <w:t>[X]</w:t>
      </w:r>
      <w:r>
        <w:rPr>
          <w:rFonts w:ascii="等线" w:hAnsi="等线" w:eastAsia="等线"/>
          <w:b w:val="0"/>
          <w:sz w:val="21"/>
        </w:rPr>
        <w:t>吨标准煤/业务单位。以每平方米办公面积计算，能耗强度为</w:t>
      </w:r>
      <w:r>
        <w:rPr>
          <w:rFonts w:ascii="等线" w:hAnsi="等线" w:eastAsia="等线"/>
          <w:b w:val="0"/>
          <w:sz w:val="21"/>
          <w:highlight w:val="yellow"/>
        </w:rPr>
        <w:t>[X]</w:t>
      </w:r>
      <w:r>
        <w:rPr>
          <w:rFonts w:ascii="等线" w:hAnsi="等线" w:eastAsia="等线"/>
          <w:b w:val="0"/>
          <w:sz w:val="21"/>
        </w:rPr>
        <w:t>吨标准煤/平方米。</w:t>
      </w:r>
    </w:p>
    <w:p>
      <w:pPr>
        <w:jc w:val="left"/>
      </w:pPr>
      <w:r>
        <w:rPr>
          <w:rFonts w:ascii="等线" w:hAnsi="等线" w:eastAsia="等线"/>
          <w:b w:val="0"/>
          <w:sz w:val="21"/>
        </w:rPr>
        <w:t>二、清洁能源使用情况</w:t>
      </w:r>
    </w:p>
    <w:p>
      <w:pPr>
        <w:jc w:val="left"/>
      </w:pPr>
      <w:r>
        <w:rPr>
          <w:rFonts w:ascii="等线" w:hAnsi="等线" w:eastAsia="等线"/>
          <w:b w:val="0"/>
          <w:sz w:val="21"/>
        </w:rPr>
        <w:t>1. 清洁能源种类及总量</w:t>
      </w:r>
    </w:p>
    <w:p>
      <w:pPr>
        <w:jc w:val="left"/>
      </w:pPr>
      <w:r>
        <w:rPr>
          <w:rFonts w:ascii="等线" w:hAnsi="等线" w:eastAsia="等线"/>
          <w:b w:val="0"/>
          <w:sz w:val="21"/>
        </w:rPr>
        <w:t>2. 本企业积极利用多种清洁能源。风能方面，通过购买绿色电力等方式，相当于使用风能</w:t>
      </w:r>
      <w:r>
        <w:rPr>
          <w:rFonts w:ascii="等线" w:hAnsi="等线" w:eastAsia="等线"/>
          <w:b w:val="0"/>
          <w:sz w:val="21"/>
          <w:highlight w:val="yellow"/>
        </w:rPr>
        <w:t>[X]</w:t>
      </w:r>
      <w:r>
        <w:rPr>
          <w:rFonts w:ascii="等线" w:hAnsi="等线" w:eastAsia="等线"/>
          <w:b w:val="0"/>
          <w:sz w:val="21"/>
        </w:rPr>
        <w:t>兆瓦时，换算为标准煤为</w:t>
      </w:r>
      <w:r>
        <w:rPr>
          <w:rFonts w:ascii="等线" w:hAnsi="等线" w:eastAsia="等线"/>
          <w:b w:val="0"/>
          <w:sz w:val="21"/>
          <w:highlight w:val="yellow"/>
        </w:rPr>
        <w:t>[X]</w:t>
      </w:r>
      <w:r>
        <w:rPr>
          <w:rFonts w:ascii="等线" w:hAnsi="等线" w:eastAsia="等线"/>
          <w:b w:val="0"/>
          <w:sz w:val="21"/>
        </w:rPr>
        <w:t>吨标准煤；太阳能方面，本企业部分办公场所安装了太阳能光伏发电设备，总发电量为</w:t>
      </w:r>
      <w:r>
        <w:rPr>
          <w:rFonts w:ascii="等线" w:hAnsi="等线" w:eastAsia="等线"/>
          <w:b w:val="0"/>
          <w:sz w:val="21"/>
          <w:highlight w:val="yellow"/>
        </w:rPr>
        <w:t>[X]</w:t>
      </w:r>
      <w:r>
        <w:rPr>
          <w:rFonts w:ascii="等线" w:hAnsi="等线" w:eastAsia="等线"/>
          <w:b w:val="0"/>
          <w:sz w:val="21"/>
        </w:rPr>
        <w:t>兆瓦时，相当于</w:t>
      </w:r>
      <w:r>
        <w:rPr>
          <w:rFonts w:ascii="等线" w:hAnsi="等线" w:eastAsia="等线"/>
          <w:b w:val="0"/>
          <w:sz w:val="21"/>
          <w:highlight w:val="yellow"/>
        </w:rPr>
        <w:t>[X]</w:t>
      </w:r>
      <w:r>
        <w:rPr>
          <w:rFonts w:ascii="等线" w:hAnsi="等线" w:eastAsia="等线"/>
          <w:b w:val="0"/>
          <w:sz w:val="21"/>
        </w:rPr>
        <w:t>吨标准煤；水能方面，通过与水电供应商合作，使用的水电量为</w:t>
      </w:r>
      <w:r>
        <w:rPr>
          <w:rFonts w:ascii="等线" w:hAnsi="等线" w:eastAsia="等线"/>
          <w:b w:val="0"/>
          <w:sz w:val="21"/>
          <w:highlight w:val="yellow"/>
        </w:rPr>
        <w:t>[X]</w:t>
      </w:r>
      <w:r>
        <w:rPr>
          <w:rFonts w:ascii="等线" w:hAnsi="等线" w:eastAsia="等线"/>
          <w:b w:val="0"/>
          <w:sz w:val="21"/>
        </w:rPr>
        <w:t>兆瓦时，折合</w:t>
      </w:r>
      <w:r>
        <w:rPr>
          <w:rFonts w:ascii="等线" w:hAnsi="等线" w:eastAsia="等线"/>
          <w:b w:val="0"/>
          <w:sz w:val="21"/>
          <w:highlight w:val="yellow"/>
        </w:rPr>
        <w:t>[X]</w:t>
      </w:r>
      <w:r>
        <w:rPr>
          <w:rFonts w:ascii="等线" w:hAnsi="等线" w:eastAsia="等线"/>
          <w:b w:val="0"/>
          <w:sz w:val="21"/>
        </w:rPr>
        <w:t>吨标准煤。</w:t>
      </w:r>
    </w:p>
    <w:p>
      <w:pPr>
        <w:jc w:val="left"/>
      </w:pPr>
      <w:r>
        <w:rPr>
          <w:rFonts w:ascii="等线" w:hAnsi="等线" w:eastAsia="等线"/>
          <w:b w:val="0"/>
          <w:sz w:val="21"/>
        </w:rPr>
        <w:t>3. 清洁能源比例</w:t>
      </w:r>
    </w:p>
    <w:p>
      <w:pPr>
        <w:jc w:val="left"/>
      </w:pPr>
      <w:r>
        <w:rPr>
          <w:rFonts w:ascii="等线" w:hAnsi="等线" w:eastAsia="等线"/>
          <w:b w:val="0"/>
          <w:sz w:val="21"/>
        </w:rPr>
        <w:t>4. 清洁能源在总能耗中的比例为</w:t>
      </w:r>
      <w:r>
        <w:rPr>
          <w:rFonts w:ascii="等线" w:hAnsi="等线" w:eastAsia="等线"/>
          <w:b w:val="0"/>
          <w:sz w:val="21"/>
          <w:highlight w:val="yellow"/>
        </w:rPr>
        <w:t>[X]</w:t>
      </w:r>
      <w:r>
        <w:rPr>
          <w:rFonts w:ascii="等线" w:hAnsi="等线" w:eastAsia="等线"/>
          <w:b w:val="0"/>
          <w:sz w:val="21"/>
        </w:rPr>
        <w:t>%。其中，风能占清洁能源使用量的</w:t>
      </w:r>
      <w:r>
        <w:rPr>
          <w:rFonts w:ascii="等线" w:hAnsi="等线" w:eastAsia="等线"/>
          <w:b w:val="0"/>
          <w:sz w:val="21"/>
          <w:highlight w:val="yellow"/>
        </w:rPr>
        <w:t>[X1]</w:t>
      </w:r>
      <w:r>
        <w:rPr>
          <w:rFonts w:ascii="等线" w:hAnsi="等线" w:eastAsia="等线"/>
          <w:b w:val="0"/>
          <w:sz w:val="21"/>
        </w:rPr>
        <w:t>%，太阳能占</w:t>
      </w:r>
      <w:r>
        <w:rPr>
          <w:rFonts w:ascii="等线" w:hAnsi="等线" w:eastAsia="等线"/>
          <w:b w:val="0"/>
          <w:sz w:val="21"/>
          <w:highlight w:val="yellow"/>
        </w:rPr>
        <w:t>[X2]</w:t>
      </w:r>
      <w:r>
        <w:rPr>
          <w:rFonts w:ascii="等线" w:hAnsi="等线" w:eastAsia="等线"/>
          <w:b w:val="0"/>
          <w:sz w:val="21"/>
        </w:rPr>
        <w:t>%，水能占</w:t>
      </w:r>
      <w:r>
        <w:rPr>
          <w:rFonts w:ascii="等线" w:hAnsi="等线" w:eastAsia="等线"/>
          <w:b w:val="0"/>
          <w:sz w:val="21"/>
          <w:highlight w:val="yellow"/>
        </w:rPr>
        <w:t>[X3]</w:t>
      </w:r>
      <w:r>
        <w:rPr>
          <w:rFonts w:ascii="等线" w:hAnsi="等线" w:eastAsia="等线"/>
          <w:b w:val="0"/>
          <w:sz w:val="21"/>
        </w:rPr>
        <w:t>%。</w:t>
      </w:r>
    </w:p>
    <w:p>
      <w:pPr>
        <w:jc w:val="left"/>
      </w:pPr>
      <w:r>
        <w:rPr>
          <w:rFonts w:ascii="等线" w:hAnsi="等线" w:eastAsia="等线"/>
          <w:b w:val="0"/>
          <w:sz w:val="21"/>
        </w:rPr>
        <w:t>三、能源节约目标以及具体措施</w:t>
      </w:r>
    </w:p>
    <w:p>
      <w:pPr>
        <w:jc w:val="left"/>
      </w:pPr>
      <w:r>
        <w:rPr>
          <w:rFonts w:ascii="等线" w:hAnsi="等线" w:eastAsia="等线"/>
          <w:b w:val="0"/>
          <w:sz w:val="21"/>
        </w:rPr>
        <w:t>1. 能源节约目标</w:t>
      </w:r>
    </w:p>
    <w:p>
      <w:pPr>
        <w:jc w:val="left"/>
      </w:pPr>
      <w:r>
        <w:rPr>
          <w:rFonts w:ascii="等线" w:hAnsi="等线" w:eastAsia="等线"/>
          <w:b w:val="0"/>
          <w:sz w:val="21"/>
        </w:rPr>
        <w:t>2. 设定短期（本报告期内）能源节约目标为总能耗量降低</w:t>
      </w:r>
      <w:r>
        <w:rPr>
          <w:rFonts w:ascii="等线" w:hAnsi="等线" w:eastAsia="等线"/>
          <w:b w:val="0"/>
          <w:sz w:val="21"/>
          <w:highlight w:val="yellow"/>
        </w:rPr>
        <w:t>[X]</w:t>
      </w:r>
      <w:r>
        <w:rPr>
          <w:rFonts w:ascii="等线" w:hAnsi="等线" w:eastAsia="等线"/>
          <w:b w:val="0"/>
          <w:sz w:val="21"/>
        </w:rPr>
        <w:t>%，长期（未来3 - 5年）目标为总能耗量降低</w:t>
      </w:r>
      <w:r>
        <w:rPr>
          <w:rFonts w:ascii="等线" w:hAnsi="等线" w:eastAsia="等线"/>
          <w:b w:val="0"/>
          <w:sz w:val="21"/>
          <w:highlight w:val="yellow"/>
        </w:rPr>
        <w:t>[X]</w:t>
      </w:r>
      <w:r>
        <w:rPr>
          <w:rFonts w:ascii="等线" w:hAnsi="等线" w:eastAsia="等线"/>
          <w:b w:val="0"/>
          <w:sz w:val="21"/>
        </w:rPr>
        <w:t>%，同时将清洁能源使用比例在未来3 - 5年提高到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具体措施</w:t>
      </w:r>
    </w:p>
    <w:p>
      <w:pPr>
        <w:jc w:val="left"/>
      </w:pPr>
      <w:r>
        <w:rPr>
          <w:rFonts w:ascii="等线" w:hAnsi="等线" w:eastAsia="等线"/>
          <w:b w:val="0"/>
          <w:sz w:val="21"/>
        </w:rPr>
        <w:t>4. 采购节能设备</w:t>
      </w:r>
    </w:p>
    <w:p>
      <w:pPr>
        <w:ind w:left="480"/>
        <w:jc w:val="left"/>
      </w:pPr>
      <w:r>
        <w:rPr>
          <w:rFonts w:ascii="等线" w:hAnsi="等线" w:eastAsia="等线"/>
          <w:b w:val="0"/>
          <w:sz w:val="21"/>
        </w:rPr>
        <w:t>◦ 在办公设备采购方面，优先采购节能生产设备、节能照明设备和节能温控设备。例如，新采购的办公电脑均为能效等级</w:t>
      </w:r>
      <w:r>
        <w:rPr>
          <w:rFonts w:ascii="等线" w:hAnsi="等线" w:eastAsia="等线"/>
          <w:b w:val="0"/>
          <w:sz w:val="21"/>
          <w:highlight w:val="yellow"/>
        </w:rPr>
        <w:t>[X]</w:t>
      </w:r>
      <w:r>
        <w:rPr>
          <w:rFonts w:ascii="等线" w:hAnsi="等线" w:eastAsia="等线"/>
          <w:b w:val="0"/>
          <w:sz w:val="21"/>
        </w:rPr>
        <w:t>级以上的产品，相比传统电脑可节能</w:t>
      </w:r>
      <w:r>
        <w:rPr>
          <w:rFonts w:ascii="等线" w:hAnsi="等线" w:eastAsia="等线"/>
          <w:b w:val="0"/>
          <w:sz w:val="21"/>
          <w:highlight w:val="yellow"/>
        </w:rPr>
        <w:t>[X]</w:t>
      </w:r>
      <w:r>
        <w:rPr>
          <w:rFonts w:ascii="等线" w:hAnsi="等线" w:eastAsia="等线"/>
          <w:b w:val="0"/>
          <w:sz w:val="21"/>
        </w:rPr>
        <w:t>%；照明设备全部更换为LED节能灯具，节能率达到</w:t>
      </w:r>
      <w:r>
        <w:rPr>
          <w:rFonts w:ascii="等线" w:hAnsi="等线" w:eastAsia="等线"/>
          <w:b w:val="0"/>
          <w:sz w:val="21"/>
          <w:highlight w:val="yellow"/>
        </w:rPr>
        <w:t>[X]</w:t>
      </w:r>
      <w:r>
        <w:rPr>
          <w:rFonts w:ascii="等线" w:hAnsi="等线" w:eastAsia="等线"/>
          <w:b w:val="0"/>
          <w:sz w:val="21"/>
        </w:rPr>
        <w:t>%；温控设备采用智能控制系统，可根据室内外温度自动调节，节能</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5. 余热余压利用和能源梯级利用</w:t>
      </w:r>
    </w:p>
    <w:p>
      <w:pPr>
        <w:ind w:left="480"/>
        <w:jc w:val="left"/>
      </w:pPr>
      <w:r>
        <w:rPr>
          <w:rFonts w:ascii="等线" w:hAnsi="等线" w:eastAsia="等线"/>
          <w:b w:val="0"/>
          <w:sz w:val="21"/>
        </w:rPr>
        <w:t>◦ 在部分数据中心，利用服务器产生的余热为办公区域供暖，每年可节约供暖能源</w:t>
      </w:r>
      <w:r>
        <w:rPr>
          <w:rFonts w:ascii="等线" w:hAnsi="等线" w:eastAsia="等线"/>
          <w:b w:val="0"/>
          <w:sz w:val="21"/>
          <w:highlight w:val="yellow"/>
        </w:rPr>
        <w:t>[X]</w:t>
      </w:r>
      <w:r>
        <w:rPr>
          <w:rFonts w:ascii="等线" w:hAnsi="等线" w:eastAsia="等线"/>
          <w:b w:val="0"/>
          <w:sz w:val="21"/>
        </w:rPr>
        <w:t>吨标准煤。同时，采用能源梯级利用系统，将高品位能源先用于高需求的设备，再将剩余能量用于低需求设备，提高能源利用效率</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6. 能源使用存在的具体困难</w:t>
      </w:r>
    </w:p>
    <w:p>
      <w:pPr>
        <w:jc w:val="left"/>
      </w:pPr>
      <w:r>
        <w:rPr>
          <w:rFonts w:ascii="等线" w:hAnsi="等线" w:eastAsia="等线"/>
          <w:b w:val="0"/>
          <w:sz w:val="21"/>
        </w:rPr>
        <w:t>7. 尽管本企业积极推进能源节约和清洁能源利用，但仍面临一些困难。例如，在一些老旧办公建筑中，进行节能设备改造受到建筑结构和线路布局的限制，改造难度较大且成本较高。同时，在清洁能源供应方面，由于部分地区的清洁能源基础设施尚不完善，存在供应不稳定的情况，影响了清洁能源使用比例的进一步提高。</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能源消耗：标煤</w:t>
            </w:r>
          </w:p>
        </w:tc>
        <w:tc>
          <w:tcPr>
            <w:tcW w:type="dxa" w:w="3213"/>
          </w:tcPr>
          <w:p>
            <w:r>
              <w:rPr>
                <w:sz w:val="21"/>
              </w:rPr>
              <w:t>吨</w:t>
            </w:r>
          </w:p>
        </w:tc>
        <w:tc>
          <w:tcPr>
            <w:tcW w:type="dxa" w:w="3213"/>
          </w:tcPr>
          <w:p>
            <w:r>
              <w:rPr>
                <w:sz w:val="21"/>
              </w:rPr>
            </w:r>
          </w:p>
        </w:tc>
      </w:tr>
      <w:tr>
        <w:tc>
          <w:tcPr>
            <w:tcW w:type="dxa" w:w="3213"/>
          </w:tcPr>
          <w:p>
            <w:r>
              <w:rPr>
                <w:sz w:val="21"/>
              </w:rPr>
              <w:t>能源消耗：天然气</w:t>
            </w:r>
          </w:p>
        </w:tc>
        <w:tc>
          <w:tcPr>
            <w:tcW w:type="dxa" w:w="3213"/>
          </w:tcPr>
          <w:p>
            <w:r>
              <w:rPr>
                <w:sz w:val="21"/>
              </w:rPr>
              <w:t>立方米</w:t>
            </w:r>
          </w:p>
        </w:tc>
        <w:tc>
          <w:tcPr>
            <w:tcW w:type="dxa" w:w="3213"/>
          </w:tcPr>
          <w:p>
            <w:r>
              <w:rPr>
                <w:sz w:val="21"/>
              </w:rPr>
            </w:r>
          </w:p>
        </w:tc>
      </w:tr>
      <w:tr>
        <w:tc>
          <w:tcPr>
            <w:tcW w:type="dxa" w:w="3213"/>
          </w:tcPr>
          <w:p>
            <w:r>
              <w:rPr>
                <w:sz w:val="21"/>
              </w:rPr>
              <w:t>能源消耗：汽油</w:t>
            </w:r>
          </w:p>
        </w:tc>
        <w:tc>
          <w:tcPr>
            <w:tcW w:type="dxa" w:w="3213"/>
          </w:tcPr>
          <w:p>
            <w:r>
              <w:rPr>
                <w:sz w:val="21"/>
              </w:rPr>
              <w:t>千焦</w:t>
            </w:r>
          </w:p>
        </w:tc>
        <w:tc>
          <w:tcPr>
            <w:tcW w:type="dxa" w:w="3213"/>
          </w:tcPr>
          <w:p>
            <w:r>
              <w:rPr>
                <w:sz w:val="21"/>
              </w:rPr>
            </w:r>
          </w:p>
        </w:tc>
      </w:tr>
      <w:tr>
        <w:tc>
          <w:tcPr>
            <w:tcW w:type="dxa" w:w="3213"/>
          </w:tcPr>
          <w:p>
            <w:r>
              <w:rPr>
                <w:sz w:val="21"/>
              </w:rPr>
              <w:t>能源消耗：柴油</w:t>
            </w:r>
          </w:p>
        </w:tc>
        <w:tc>
          <w:tcPr>
            <w:tcW w:type="dxa" w:w="3213"/>
          </w:tcPr>
          <w:p>
            <w:r>
              <w:rPr>
                <w:sz w:val="21"/>
              </w:rPr>
              <w:t>千焦</w:t>
            </w:r>
          </w:p>
        </w:tc>
        <w:tc>
          <w:tcPr>
            <w:tcW w:type="dxa" w:w="3213"/>
          </w:tcPr>
          <w:p>
            <w:r>
              <w:rPr>
                <w:sz w:val="21"/>
              </w:rPr>
            </w:r>
          </w:p>
        </w:tc>
      </w:tr>
      <w:tr>
        <w:tc>
          <w:tcPr>
            <w:tcW w:type="dxa" w:w="3213"/>
          </w:tcPr>
          <w:p>
            <w:r>
              <w:rPr>
                <w:sz w:val="21"/>
              </w:rPr>
              <w:t>能源消耗：电力</w:t>
            </w:r>
          </w:p>
        </w:tc>
        <w:tc>
          <w:tcPr>
            <w:tcW w:type="dxa" w:w="3213"/>
          </w:tcPr>
          <w:p>
            <w:r>
              <w:rPr>
                <w:sz w:val="21"/>
              </w:rPr>
              <w:t>兆瓦时</w:t>
            </w:r>
          </w:p>
        </w:tc>
        <w:tc>
          <w:tcPr>
            <w:tcW w:type="dxa" w:w="3213"/>
          </w:tcPr>
          <w:p>
            <w:r>
              <w:rPr>
                <w:sz w:val="21"/>
              </w:rPr>
            </w:r>
          </w:p>
        </w:tc>
      </w:tr>
      <w:tr>
        <w:tc>
          <w:tcPr>
            <w:tcW w:type="dxa" w:w="3213"/>
          </w:tcPr>
          <w:p>
            <w:r>
              <w:rPr>
                <w:sz w:val="21"/>
              </w:rPr>
              <w:t>自发电量</w:t>
            </w:r>
          </w:p>
        </w:tc>
        <w:tc>
          <w:tcPr>
            <w:tcW w:type="dxa" w:w="3213"/>
          </w:tcPr>
          <w:p>
            <w:r>
              <w:rPr>
                <w:sz w:val="21"/>
              </w:rPr>
              <w:t>兆瓦时</w:t>
            </w:r>
          </w:p>
        </w:tc>
        <w:tc>
          <w:tcPr>
            <w:tcW w:type="dxa" w:w="3213"/>
          </w:tcPr>
          <w:p>
            <w:r>
              <w:rPr>
                <w:sz w:val="21"/>
              </w:rPr>
            </w:r>
          </w:p>
        </w:tc>
      </w:tr>
      <w:tr>
        <w:tc>
          <w:tcPr>
            <w:tcW w:type="dxa" w:w="3213"/>
          </w:tcPr>
          <w:p>
            <w:r>
              <w:rPr>
                <w:sz w:val="21"/>
              </w:rPr>
              <w:t>清洁能源使用量</w:t>
            </w:r>
          </w:p>
        </w:tc>
        <w:tc>
          <w:tcPr>
            <w:tcW w:type="dxa" w:w="3213"/>
          </w:tcPr>
          <w:p>
            <w:r>
              <w:rPr>
                <w:sz w:val="21"/>
              </w:rPr>
              <w:t>千焦</w:t>
            </w:r>
          </w:p>
        </w:tc>
        <w:tc>
          <w:tcPr>
            <w:tcW w:type="dxa" w:w="3213"/>
          </w:tcPr>
          <w:p>
            <w:r>
              <w:rPr>
                <w:sz w:val="21"/>
              </w:rPr>
            </w:r>
          </w:p>
        </w:tc>
      </w:tr>
    </w:tbl>
    <w:p>
      <w:pPr>
        <w:pStyle w:val="Heading2"/>
      </w:pPr>
      <w:r>
        <w:rPr>
          <w:rFonts w:ascii="等线" w:hAnsi="等线" w:eastAsia="等线"/>
          <w:color w:val="000000"/>
          <w:sz w:val="32"/>
        </w:rPr>
        <w:t>水资源利用</w:t>
      </w:r>
    </w:p>
    <w:p>
      <w:pPr>
        <w:jc w:val="left"/>
      </w:pPr>
      <w:r>
        <w:rPr>
          <w:rFonts w:ascii="等线" w:hAnsi="等线" w:eastAsia="等线"/>
          <w:b w:val="0"/>
          <w:sz w:val="21"/>
        </w:rPr>
        <w:t>一、水资源使用的基本情况</w:t>
      </w:r>
    </w:p>
    <w:p>
      <w:pPr>
        <w:jc w:val="left"/>
      </w:pPr>
      <w:r>
        <w:rPr>
          <w:rFonts w:ascii="等线" w:hAnsi="等线" w:eastAsia="等线"/>
          <w:b w:val="0"/>
          <w:sz w:val="21"/>
        </w:rPr>
        <w:t>1. 总耗水量在报告期内，本大型国有银行业企业的总耗水量为</w:t>
      </w:r>
      <w:r>
        <w:rPr>
          <w:rFonts w:ascii="等线" w:hAnsi="等线" w:eastAsia="等线"/>
          <w:b w:val="0"/>
          <w:sz w:val="21"/>
          <w:highlight w:val="yellow"/>
        </w:rPr>
        <w:t>[X]</w:t>
      </w:r>
      <w:r>
        <w:rPr>
          <w:rFonts w:ascii="等线" w:hAnsi="等线" w:eastAsia="等线"/>
          <w:b w:val="0"/>
          <w:sz w:val="21"/>
        </w:rPr>
        <w:t>吨。这一数据涵盖了企业运营过程中的各个环节，包括办公区域的日常用水，如员工饮用、清洁卫生、空调冷却系统补水等。</w:t>
      </w:r>
    </w:p>
    <w:p>
      <w:pPr>
        <w:jc w:val="left"/>
      </w:pPr>
      <w:r>
        <w:rPr>
          <w:rFonts w:ascii="等线" w:hAnsi="等线" w:eastAsia="等线"/>
          <w:b w:val="0"/>
          <w:sz w:val="21"/>
        </w:rPr>
        <w:t>2. 使用强度为了更精确地衡量水资源使用效率，我们采用每服务单位的耗水量作为使用强度指标。以本银行提供的金融服务数量为基准，每完成</w:t>
      </w:r>
      <w:r>
        <w:rPr>
          <w:rFonts w:ascii="等线" w:hAnsi="等线" w:eastAsia="等线"/>
          <w:b w:val="0"/>
          <w:sz w:val="21"/>
          <w:highlight w:val="yellow"/>
        </w:rPr>
        <w:t>[X]</w:t>
      </w:r>
      <w:r>
        <w:rPr>
          <w:rFonts w:ascii="等线" w:hAnsi="等线" w:eastAsia="等线"/>
          <w:b w:val="0"/>
          <w:sz w:val="21"/>
        </w:rPr>
        <w:t>笔金融服务，耗水量为</w:t>
      </w:r>
      <w:r>
        <w:rPr>
          <w:rFonts w:ascii="等线" w:hAnsi="等线" w:eastAsia="等线"/>
          <w:b w:val="0"/>
          <w:sz w:val="21"/>
          <w:highlight w:val="yellow"/>
        </w:rPr>
        <w:t>[X]</w:t>
      </w:r>
      <w:r>
        <w:rPr>
          <w:rFonts w:ascii="等线" w:hAnsi="等线" w:eastAsia="等线"/>
          <w:b w:val="0"/>
          <w:sz w:val="21"/>
        </w:rPr>
        <w:t>吨。这一指标有助于在不同业务规模和发展阶段下，对水资源利用情况进行横向和纵向比较。例如，与上一报告期相比，尽管业务量增长了</w:t>
      </w:r>
      <w:r>
        <w:rPr>
          <w:rFonts w:ascii="等线" w:hAnsi="等线" w:eastAsia="等线"/>
          <w:b w:val="0"/>
          <w:sz w:val="21"/>
          <w:highlight w:val="yellow"/>
        </w:rPr>
        <w:t>[X]</w:t>
      </w:r>
      <w:r>
        <w:rPr>
          <w:rFonts w:ascii="等线" w:hAnsi="等线" w:eastAsia="等线"/>
          <w:b w:val="0"/>
          <w:sz w:val="21"/>
        </w:rPr>
        <w:t>%，但通过一系列节水措施的实施，每服务单位的耗水量降低了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二、水资源节约目标以及具体措施</w:t>
      </w:r>
    </w:p>
    <w:p>
      <w:pPr>
        <w:jc w:val="left"/>
      </w:pPr>
      <w:r>
        <w:rPr>
          <w:rFonts w:ascii="等线" w:hAnsi="等线" w:eastAsia="等线"/>
          <w:b w:val="0"/>
          <w:sz w:val="21"/>
        </w:rPr>
        <w:t>1. 节约目标本企业设定了明确的水资源节约目标。计划在未来</w:t>
      </w:r>
      <w:r>
        <w:rPr>
          <w:rFonts w:ascii="等线" w:hAnsi="等线" w:eastAsia="等线"/>
          <w:b w:val="0"/>
          <w:sz w:val="21"/>
          <w:highlight w:val="yellow"/>
        </w:rPr>
        <w:t>[X]</w:t>
      </w:r>
      <w:r>
        <w:rPr>
          <w:rFonts w:ascii="等线" w:hAnsi="等线" w:eastAsia="等线"/>
          <w:b w:val="0"/>
          <w:sz w:val="21"/>
        </w:rPr>
        <w:t>年内，将总耗水量降低</w:t>
      </w:r>
      <w:r>
        <w:rPr>
          <w:rFonts w:ascii="等线" w:hAnsi="等线" w:eastAsia="等线"/>
          <w:b w:val="0"/>
          <w:sz w:val="21"/>
          <w:highlight w:val="yellow"/>
        </w:rPr>
        <w:t>[X]</w:t>
      </w:r>
      <w:r>
        <w:rPr>
          <w:rFonts w:ascii="等线" w:hAnsi="等线" w:eastAsia="等线"/>
          <w:b w:val="0"/>
          <w:sz w:val="21"/>
        </w:rPr>
        <w:t>%，同时保持业务的稳定增长。这一目标的设定是基于对可持续发展理念的深入贯彻，以及对自身社会责任的积极担当。</w:t>
      </w:r>
    </w:p>
    <w:p>
      <w:pPr>
        <w:jc w:val="left"/>
      </w:pPr>
      <w:r>
        <w:rPr>
          <w:rFonts w:ascii="等线" w:hAnsi="等线" w:eastAsia="等线"/>
          <w:b w:val="0"/>
          <w:sz w:val="21"/>
        </w:rPr>
        <w:t>2. 具体措施</w:t>
      </w:r>
    </w:p>
    <w:p>
      <w:pPr>
        <w:ind w:left="480"/>
        <w:jc w:val="left"/>
      </w:pPr>
      <w:r>
        <w:rPr>
          <w:rFonts w:ascii="等线" w:hAnsi="等线" w:eastAsia="等线"/>
          <w:b w:val="0"/>
          <w:sz w:val="21"/>
        </w:rPr>
        <w:t>◦ 设施升级：对办公区域的用水设施进行全面升级改造。例如，将传统的水龙头更换为感应式水龙头，预计可减少因人为疏忽导致的长流水现象，从而节约</w:t>
      </w:r>
      <w:r>
        <w:rPr>
          <w:rFonts w:ascii="等线" w:hAnsi="等线" w:eastAsia="等线"/>
          <w:b w:val="0"/>
          <w:sz w:val="21"/>
          <w:highlight w:val="yellow"/>
        </w:rPr>
        <w:t>[X]</w:t>
      </w:r>
      <w:r>
        <w:rPr>
          <w:rFonts w:ascii="等线" w:hAnsi="等线" w:eastAsia="等线"/>
          <w:b w:val="0"/>
          <w:sz w:val="21"/>
        </w:rPr>
        <w:t>%的洗手用水。同时，对空调冷却系统进行优化，安装了智能控制系统，根据室外温度和室内负荷自动调节冷却水量，提高水资源利用效率，预计可降低冷却系统用水量</w:t>
      </w:r>
      <w:r>
        <w:rPr>
          <w:rFonts w:ascii="等线" w:hAnsi="等线" w:eastAsia="等线"/>
          <w:b w:val="0"/>
          <w:sz w:val="21"/>
          <w:highlight w:val="yellow"/>
        </w:rPr>
        <w:t>[X]</w:t>
      </w:r>
      <w:r>
        <w:rPr>
          <w:rFonts w:ascii="等线" w:hAnsi="等线" w:eastAsia="等线"/>
          <w:b w:val="0"/>
          <w:sz w:val="21"/>
        </w:rPr>
        <w:t>%。</w:t>
      </w:r>
    </w:p>
    <w:p>
      <w:pPr>
        <w:ind w:left="480"/>
        <w:jc w:val="left"/>
      </w:pPr>
      <w:r>
        <w:rPr>
          <w:rFonts w:ascii="等线" w:hAnsi="等线" w:eastAsia="等线"/>
          <w:b w:val="0"/>
          <w:sz w:val="21"/>
        </w:rPr>
        <w:t>◦ 员工教育与激励：开展水资源节约教育活动，提高员工的节水意识。通过内部培训、宣传海报和线上知识竞赛等方式，向员工普及水资源的重要性和节水方法。同时，设立节水奖励制度，对在节水方面表现突出的部门和个人给予表彰和奖励，鼓励员工积极参与节水行动。</w:t>
      </w:r>
    </w:p>
    <w:p>
      <w:pPr>
        <w:jc w:val="left"/>
      </w:pPr>
      <w:r>
        <w:rPr>
          <w:rFonts w:ascii="等线" w:hAnsi="等线" w:eastAsia="等线"/>
          <w:b w:val="0"/>
          <w:sz w:val="21"/>
        </w:rPr>
        <w:t>三、水资源回收利用情况</w:t>
      </w:r>
    </w:p>
    <w:p>
      <w:pPr>
        <w:jc w:val="left"/>
      </w:pPr>
      <w:r>
        <w:rPr>
          <w:rFonts w:ascii="等线" w:hAnsi="等线" w:eastAsia="等线"/>
          <w:b w:val="0"/>
          <w:sz w:val="21"/>
        </w:rPr>
        <w:t>本企业积极探索水资源的回收利用途径。在部分办公大楼内，安装了雨水收集系统，将收集到的雨水用于绿化灌溉和景观用水。报告期内，通过雨水收集系统回收利用的水量达到</w:t>
      </w:r>
      <w:r>
        <w:rPr>
          <w:rFonts w:ascii="等线" w:hAnsi="等线" w:eastAsia="等线"/>
          <w:b w:val="0"/>
          <w:sz w:val="21"/>
          <w:highlight w:val="yellow"/>
        </w:rPr>
        <w:t>[X]</w:t>
      </w:r>
      <w:r>
        <w:rPr>
          <w:rFonts w:ascii="等线" w:hAnsi="等线" w:eastAsia="等线"/>
          <w:b w:val="0"/>
          <w:sz w:val="21"/>
        </w:rPr>
        <w:t>吨，占总用水量的</w:t>
      </w:r>
      <w:r>
        <w:rPr>
          <w:rFonts w:ascii="等线" w:hAnsi="等线" w:eastAsia="等线"/>
          <w:b w:val="0"/>
          <w:sz w:val="21"/>
          <w:highlight w:val="yellow"/>
        </w:rPr>
        <w:t>[X]</w:t>
      </w:r>
      <w:r>
        <w:rPr>
          <w:rFonts w:ascii="等线" w:hAnsi="等线" w:eastAsia="等线"/>
          <w:b w:val="0"/>
          <w:sz w:val="21"/>
        </w:rPr>
        <w:t>%。此外，对部分空调冷凝水也进行了回收利用，用于补充办公区域的清洁用水，这部分回收水量为</w:t>
      </w:r>
      <w:r>
        <w:rPr>
          <w:rFonts w:ascii="等线" w:hAnsi="等线" w:eastAsia="等线"/>
          <w:b w:val="0"/>
          <w:sz w:val="21"/>
          <w:highlight w:val="yellow"/>
        </w:rPr>
        <w:t>[X]</w:t>
      </w:r>
      <w:r>
        <w:rPr>
          <w:rFonts w:ascii="等线" w:hAnsi="等线" w:eastAsia="等线"/>
          <w:b w:val="0"/>
          <w:sz w:val="21"/>
        </w:rPr>
        <w:t>吨。</w:t>
      </w:r>
    </w:p>
    <w:p>
      <w:pPr>
        <w:jc w:val="left"/>
      </w:pPr>
      <w:r>
        <w:rPr>
          <w:rFonts w:ascii="等线" w:hAnsi="等线" w:eastAsia="等线"/>
          <w:b w:val="0"/>
          <w:sz w:val="21"/>
        </w:rPr>
        <w:t>四、水资源使用存在的具体困难</w:t>
      </w:r>
    </w:p>
    <w:p>
      <w:pPr>
        <w:jc w:val="left"/>
      </w:pPr>
      <w:r>
        <w:rPr>
          <w:rFonts w:ascii="等线" w:hAnsi="等线" w:eastAsia="等线"/>
          <w:b w:val="0"/>
          <w:sz w:val="21"/>
        </w:rPr>
        <w:t>1. 老旧建筑改造限制部分老旧办公建筑在建设时未考虑到水资源的高效利用，其管道系统老化、布局不合理，进行节水设施改造时面临较大的技术和成本挑战。例如，一些老旧建筑的地下管道由于年久失修，更换新的节水型管道需要进行大规模的挖掘和重新铺设工程，不仅施工难度大，而且会对正常办公造成一定影响。</w:t>
      </w:r>
    </w:p>
    <w:p>
      <w:pPr>
        <w:jc w:val="left"/>
      </w:pPr>
      <w:r>
        <w:rPr>
          <w:rFonts w:ascii="等线" w:hAnsi="等线" w:eastAsia="等线"/>
          <w:b w:val="0"/>
          <w:sz w:val="21"/>
        </w:rPr>
        <w:t>2. 地区水资源差异本银行在全国乃至国际范围内设有众多分支机构，不同地区的水资源状况差异较大。在一些水资源匮乏的地区，当地的供水基础设施薄弱，水质不稳定，这给企业的水资源管理带来了额外的困难。例如，在某些干旱地区，企业需要投入更多的资源用于水质净化和水资源储备，以确保正常运营。</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新水消耗量</w:t>
            </w:r>
          </w:p>
        </w:tc>
        <w:tc>
          <w:tcPr>
            <w:tcW w:type="dxa" w:w="3213"/>
          </w:tcPr>
          <w:p>
            <w:r>
              <w:rPr>
                <w:sz w:val="21"/>
              </w:rPr>
              <w:t>吨</w:t>
            </w:r>
          </w:p>
        </w:tc>
        <w:tc>
          <w:tcPr>
            <w:tcW w:type="dxa" w:w="3213"/>
          </w:tcPr>
          <w:p>
            <w:r>
              <w:rPr>
                <w:sz w:val="21"/>
              </w:rPr>
            </w:r>
          </w:p>
        </w:tc>
      </w:tr>
      <w:tr>
        <w:tc>
          <w:tcPr>
            <w:tcW w:type="dxa" w:w="3213"/>
          </w:tcPr>
          <w:p>
            <w:r>
              <w:rPr>
                <w:sz w:val="21"/>
              </w:rPr>
              <w:t>新水消耗量-市政自来水</w:t>
            </w:r>
          </w:p>
        </w:tc>
        <w:tc>
          <w:tcPr>
            <w:tcW w:type="dxa" w:w="3213"/>
          </w:tcPr>
          <w:p>
            <w:r>
              <w:rPr>
                <w:sz w:val="21"/>
              </w:rPr>
              <w:t>吨</w:t>
            </w:r>
          </w:p>
        </w:tc>
        <w:tc>
          <w:tcPr>
            <w:tcW w:type="dxa" w:w="3213"/>
          </w:tcPr>
          <w:p>
            <w:r>
              <w:rPr>
                <w:sz w:val="21"/>
              </w:rPr>
            </w:r>
          </w:p>
        </w:tc>
      </w:tr>
      <w:tr>
        <w:tc>
          <w:tcPr>
            <w:tcW w:type="dxa" w:w="3213"/>
          </w:tcPr>
          <w:p>
            <w:r>
              <w:rPr>
                <w:sz w:val="21"/>
              </w:rPr>
              <w:t>新水消耗量-地表水</w:t>
            </w:r>
          </w:p>
        </w:tc>
        <w:tc>
          <w:tcPr>
            <w:tcW w:type="dxa" w:w="3213"/>
          </w:tcPr>
          <w:p>
            <w:r>
              <w:rPr>
                <w:sz w:val="21"/>
              </w:rPr>
              <w:t>吨</w:t>
            </w:r>
          </w:p>
        </w:tc>
        <w:tc>
          <w:tcPr>
            <w:tcW w:type="dxa" w:w="3213"/>
          </w:tcPr>
          <w:p>
            <w:r>
              <w:rPr>
                <w:sz w:val="21"/>
              </w:rPr>
            </w:r>
          </w:p>
        </w:tc>
      </w:tr>
      <w:tr>
        <w:tc>
          <w:tcPr>
            <w:tcW w:type="dxa" w:w="3213"/>
          </w:tcPr>
          <w:p>
            <w:r>
              <w:rPr>
                <w:sz w:val="21"/>
              </w:rPr>
              <w:t>新水消耗量-地下水</w:t>
            </w:r>
          </w:p>
        </w:tc>
        <w:tc>
          <w:tcPr>
            <w:tcW w:type="dxa" w:w="3213"/>
          </w:tcPr>
          <w:p>
            <w:r>
              <w:rPr>
                <w:sz w:val="21"/>
              </w:rPr>
              <w:t>吨</w:t>
            </w:r>
          </w:p>
        </w:tc>
        <w:tc>
          <w:tcPr>
            <w:tcW w:type="dxa" w:w="3213"/>
          </w:tcPr>
          <w:p>
            <w:r>
              <w:rPr>
                <w:sz w:val="21"/>
              </w:rPr>
            </w:r>
          </w:p>
        </w:tc>
      </w:tr>
      <w:tr>
        <w:tc>
          <w:tcPr>
            <w:tcW w:type="dxa" w:w="3213"/>
          </w:tcPr>
          <w:p>
            <w:r>
              <w:rPr>
                <w:sz w:val="21"/>
              </w:rPr>
              <w:t>中水回用量</w:t>
            </w:r>
          </w:p>
        </w:tc>
        <w:tc>
          <w:tcPr>
            <w:tcW w:type="dxa" w:w="3213"/>
          </w:tcPr>
          <w:p>
            <w:r>
              <w:rPr>
                <w:sz w:val="21"/>
              </w:rPr>
              <w:t>吨</w:t>
            </w:r>
          </w:p>
        </w:tc>
        <w:tc>
          <w:tcPr>
            <w:tcW w:type="dxa" w:w="3213"/>
          </w:tcPr>
          <w:p>
            <w:r>
              <w:rPr>
                <w:sz w:val="21"/>
              </w:rPr>
            </w:r>
          </w:p>
        </w:tc>
      </w:tr>
      <w:tr>
        <w:tc>
          <w:tcPr>
            <w:tcW w:type="dxa" w:w="3213"/>
          </w:tcPr>
          <w:p>
            <w:r>
              <w:rPr>
                <w:sz w:val="21"/>
              </w:rPr>
              <w:t>中水回用率</w:t>
            </w:r>
          </w:p>
        </w:tc>
        <w:tc>
          <w:tcPr>
            <w:tcW w:type="dxa" w:w="3213"/>
          </w:tcPr>
          <w:p>
            <w:r>
              <w:rPr>
                <w:sz w:val="21"/>
              </w:rPr>
            </w:r>
          </w:p>
        </w:tc>
        <w:tc>
          <w:tcPr>
            <w:tcW w:type="dxa" w:w="3213"/>
          </w:tcPr>
          <w:p>
            <w:r>
              <w:rPr>
                <w:sz w:val="21"/>
              </w:rPr>
            </w:r>
          </w:p>
        </w:tc>
      </w:tr>
      <w:tr>
        <w:tc>
          <w:tcPr>
            <w:tcW w:type="dxa" w:w="3213"/>
          </w:tcPr>
          <w:p>
            <w:r>
              <w:rPr>
                <w:sz w:val="21"/>
              </w:rPr>
              <w:t>处于高水风险地区运营点数量</w:t>
            </w:r>
          </w:p>
        </w:tc>
        <w:tc>
          <w:tcPr>
            <w:tcW w:type="dxa" w:w="3213"/>
          </w:tcPr>
          <w:p>
            <w:r>
              <w:rPr>
                <w:sz w:val="21"/>
              </w:rPr>
              <w:t>家</w:t>
            </w:r>
          </w:p>
        </w:tc>
        <w:tc>
          <w:tcPr>
            <w:tcW w:type="dxa" w:w="3213"/>
          </w:tcPr>
          <w:p>
            <w:r>
              <w:rPr>
                <w:sz w:val="21"/>
              </w:rPr>
            </w:r>
          </w:p>
        </w:tc>
      </w:tr>
      <w:tr>
        <w:tc>
          <w:tcPr>
            <w:tcW w:type="dxa" w:w="3213"/>
          </w:tcPr>
          <w:p>
            <w:r>
              <w:rPr>
                <w:sz w:val="21"/>
              </w:rPr>
              <w:t>处于中水风险地区运营点数量</w:t>
            </w:r>
          </w:p>
        </w:tc>
        <w:tc>
          <w:tcPr>
            <w:tcW w:type="dxa" w:w="3213"/>
          </w:tcPr>
          <w:p>
            <w:r>
              <w:rPr>
                <w:sz w:val="21"/>
              </w:rPr>
              <w:t>家</w:t>
            </w:r>
          </w:p>
        </w:tc>
        <w:tc>
          <w:tcPr>
            <w:tcW w:type="dxa" w:w="3213"/>
          </w:tcPr>
          <w:p>
            <w:r>
              <w:rPr>
                <w:sz w:val="21"/>
              </w:rPr>
            </w:r>
          </w:p>
        </w:tc>
      </w:tr>
    </w:tbl>
    <w:p>
      <w:pPr>
        <w:pStyle w:val="Heading2"/>
      </w:pPr>
      <w:r>
        <w:rPr>
          <w:rFonts w:ascii="等线" w:hAnsi="等线" w:eastAsia="等线"/>
          <w:color w:val="000000"/>
          <w:sz w:val="32"/>
        </w:rPr>
        <w:t>循环经济</w:t>
      </w:r>
    </w:p>
    <w:p>
      <w:pPr>
        <w:jc w:val="left"/>
      </w:pPr>
      <w:r>
        <w:rPr>
          <w:rFonts w:ascii="等线" w:hAnsi="等线" w:eastAsia="等线"/>
          <w:b w:val="0"/>
          <w:sz w:val="21"/>
        </w:rPr>
        <w:t>一、循环经济的具体目标和计划</w:t>
      </w:r>
    </w:p>
    <w:p>
      <w:pPr>
        <w:jc w:val="left"/>
      </w:pPr>
      <w:r>
        <w:rPr>
          <w:rFonts w:ascii="等线" w:hAnsi="等线" w:eastAsia="等线"/>
          <w:b w:val="0"/>
          <w:sz w:val="21"/>
        </w:rPr>
        <w:t>本银行致力于在运营过程中积极推动循环经济发展。目标方面，计划在未来</w:t>
      </w:r>
      <w:r>
        <w:rPr>
          <w:rFonts w:ascii="等线" w:hAnsi="等线" w:eastAsia="等线"/>
          <w:b w:val="0"/>
          <w:sz w:val="21"/>
          <w:highlight w:val="yellow"/>
        </w:rPr>
        <w:t>[X]</w:t>
      </w:r>
      <w:r>
        <w:rPr>
          <w:rFonts w:ascii="等线" w:hAnsi="等线" w:eastAsia="等线"/>
          <w:b w:val="0"/>
          <w:sz w:val="21"/>
        </w:rPr>
        <w:t>年内将单位业务量的资源消耗降低</w:t>
      </w:r>
      <w:r>
        <w:rPr>
          <w:rFonts w:ascii="等线" w:hAnsi="等线" w:eastAsia="等线"/>
          <w:b w:val="0"/>
          <w:sz w:val="21"/>
          <w:highlight w:val="yellow"/>
        </w:rPr>
        <w:t>[X]</w:t>
      </w:r>
      <w:r>
        <w:rPr>
          <w:rFonts w:ascii="等线" w:hAnsi="等线" w:eastAsia="等线"/>
          <w:b w:val="0"/>
          <w:sz w:val="21"/>
        </w:rPr>
        <w:t>%，将废弃物产生量减少</w:t>
      </w:r>
      <w:r>
        <w:rPr>
          <w:rFonts w:ascii="等线" w:hAnsi="等线" w:eastAsia="等线"/>
          <w:b w:val="0"/>
          <w:sz w:val="21"/>
          <w:highlight w:val="yellow"/>
        </w:rPr>
        <w:t>[X]</w:t>
      </w:r>
      <w:r>
        <w:rPr>
          <w:rFonts w:ascii="等线" w:hAnsi="等线" w:eastAsia="等线"/>
          <w:b w:val="0"/>
          <w:sz w:val="21"/>
        </w:rPr>
        <w:t>%。同时，设定可再生资源使用率达到</w:t>
      </w:r>
      <w:r>
        <w:rPr>
          <w:rFonts w:ascii="等线" w:hAnsi="等线" w:eastAsia="等线"/>
          <w:b w:val="0"/>
          <w:sz w:val="21"/>
          <w:highlight w:val="yellow"/>
        </w:rPr>
        <w:t>[X]</w:t>
      </w:r>
      <w:r>
        <w:rPr>
          <w:rFonts w:ascii="等线" w:hAnsi="等线" w:eastAsia="等线"/>
          <w:b w:val="0"/>
          <w:sz w:val="21"/>
        </w:rPr>
        <w:t>%的目标。</w:t>
      </w:r>
    </w:p>
    <w:p>
      <w:pPr>
        <w:jc w:val="left"/>
      </w:pPr>
      <w:r>
        <w:rPr>
          <w:rFonts w:ascii="等线" w:hAnsi="等线" w:eastAsia="等线"/>
          <w:b w:val="0"/>
          <w:sz w:val="21"/>
        </w:rPr>
        <w:t>在计划层面，首先制定了全面的资源管理计划，涵盖能源、纸张、水资源等。对于能源，计划逐步提高可再生能源在总能源消耗中的占比，到</w:t>
      </w:r>
      <w:r>
        <w:rPr>
          <w:rFonts w:ascii="等线" w:hAnsi="等线" w:eastAsia="等线"/>
          <w:b w:val="0"/>
          <w:sz w:val="21"/>
          <w:highlight w:val="yellow"/>
        </w:rPr>
        <w:t>[具体年份]</w:t>
      </w:r>
      <w:r>
        <w:rPr>
          <w:rFonts w:ascii="等线" w:hAnsi="等线" w:eastAsia="等线"/>
          <w:b w:val="0"/>
          <w:sz w:val="21"/>
        </w:rPr>
        <w:t>达到</w:t>
      </w:r>
      <w:r>
        <w:rPr>
          <w:rFonts w:ascii="等线" w:hAnsi="等线" w:eastAsia="等线"/>
          <w:b w:val="0"/>
          <w:sz w:val="21"/>
          <w:highlight w:val="yellow"/>
        </w:rPr>
        <w:t>[X]</w:t>
      </w:r>
      <w:r>
        <w:rPr>
          <w:rFonts w:ascii="等线" w:hAnsi="等线" w:eastAsia="等线"/>
          <w:b w:val="0"/>
          <w:sz w:val="21"/>
        </w:rPr>
        <w:t>%。针对纸张使用，计划通过数字化转型减少纸张用量</w:t>
      </w:r>
      <w:r>
        <w:rPr>
          <w:rFonts w:ascii="等线" w:hAnsi="等线" w:eastAsia="等线"/>
          <w:b w:val="0"/>
          <w:sz w:val="21"/>
          <w:highlight w:val="yellow"/>
        </w:rPr>
        <w:t>[X]</w:t>
      </w:r>
      <w:r>
        <w:rPr>
          <w:rFonts w:ascii="等线" w:hAnsi="等线" w:eastAsia="等线"/>
          <w:b w:val="0"/>
          <w:sz w:val="21"/>
        </w:rPr>
        <w:t>%。在水资源管理方面，计划实现水资源循环利用率达到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二、为实现循环经济采取的具体措施</w:t>
      </w:r>
    </w:p>
    <w:p>
      <w:pPr>
        <w:jc w:val="left"/>
      </w:pPr>
      <w:r>
        <w:rPr>
          <w:rFonts w:ascii="等线" w:hAnsi="等线" w:eastAsia="等线"/>
          <w:b w:val="0"/>
          <w:sz w:val="21"/>
        </w:rPr>
        <w:t>1. 节省资源</w:t>
      </w:r>
    </w:p>
    <w:p>
      <w:pPr>
        <w:jc w:val="left"/>
      </w:pPr>
      <w:r>
        <w:rPr>
          <w:rFonts w:ascii="等线" w:hAnsi="等线" w:eastAsia="等线"/>
          <w:b w:val="0"/>
          <w:sz w:val="21"/>
        </w:rPr>
        <w:t>2. 在能源节省上，对办公场所进行节能改造，安装智能照明系统，使得照明能耗降低了</w:t>
      </w:r>
      <w:r>
        <w:rPr>
          <w:rFonts w:ascii="等线" w:hAnsi="等线" w:eastAsia="等线"/>
          <w:b w:val="0"/>
          <w:sz w:val="21"/>
          <w:highlight w:val="yellow"/>
        </w:rPr>
        <w:t>[X]</w:t>
      </w:r>
      <w:r>
        <w:rPr>
          <w:rFonts w:ascii="等线" w:hAnsi="等线" w:eastAsia="等线"/>
          <w:b w:val="0"/>
          <w:sz w:val="21"/>
        </w:rPr>
        <w:t>%。采用高效节能的办公设备，通过设备更新，预计每年可减少能源消耗</w:t>
      </w:r>
      <w:r>
        <w:rPr>
          <w:rFonts w:ascii="等线" w:hAnsi="等线" w:eastAsia="等线"/>
          <w:b w:val="0"/>
          <w:sz w:val="21"/>
          <w:highlight w:val="yellow"/>
        </w:rPr>
        <w:t>[X]</w:t>
      </w:r>
      <w:r>
        <w:rPr>
          <w:rFonts w:ascii="等线" w:hAnsi="等线" w:eastAsia="等线"/>
          <w:b w:val="0"/>
          <w:sz w:val="21"/>
        </w:rPr>
        <w:t>千瓦时。</w:t>
      </w:r>
    </w:p>
    <w:p>
      <w:pPr>
        <w:jc w:val="left"/>
      </w:pPr>
      <w:r>
        <w:rPr>
          <w:rFonts w:ascii="等线" w:hAnsi="等线" w:eastAsia="等线"/>
          <w:b w:val="0"/>
          <w:sz w:val="21"/>
        </w:rPr>
        <w:t>3. 在纸张节省方面，大力推广电子文档管理系统，目前电子文档使用率已达到</w:t>
      </w:r>
      <w:r>
        <w:rPr>
          <w:rFonts w:ascii="等线" w:hAnsi="等线" w:eastAsia="等线"/>
          <w:b w:val="0"/>
          <w:sz w:val="21"/>
          <w:highlight w:val="yellow"/>
        </w:rPr>
        <w:t>[X]</w:t>
      </w:r>
      <w:r>
        <w:rPr>
          <w:rFonts w:ascii="等线" w:hAnsi="等线" w:eastAsia="等线"/>
          <w:b w:val="0"/>
          <w:sz w:val="21"/>
        </w:rPr>
        <w:t>%，纸张用量较之前减少了</w:t>
      </w:r>
      <w:r>
        <w:rPr>
          <w:rFonts w:ascii="等线" w:hAnsi="等线" w:eastAsia="等线"/>
          <w:b w:val="0"/>
          <w:sz w:val="21"/>
          <w:highlight w:val="yellow"/>
        </w:rPr>
        <w:t>[X]</w:t>
      </w:r>
      <w:r>
        <w:rPr>
          <w:rFonts w:ascii="等线" w:hAnsi="等线" w:eastAsia="等线"/>
          <w:b w:val="0"/>
          <w:sz w:val="21"/>
        </w:rPr>
        <w:t>吨。</w:t>
      </w:r>
    </w:p>
    <w:p>
      <w:pPr>
        <w:jc w:val="left"/>
      </w:pPr>
      <w:r>
        <w:rPr>
          <w:rFonts w:ascii="等线" w:hAnsi="等线" w:eastAsia="等线"/>
          <w:b w:val="0"/>
          <w:sz w:val="21"/>
        </w:rPr>
        <w:t>4. 水资源节省上，安装了节水器具，如感应式水龙头等。通过这些措施，单个网点的水资源消耗较之前降低了</w:t>
      </w:r>
      <w:r>
        <w:rPr>
          <w:rFonts w:ascii="等线" w:hAnsi="等线" w:eastAsia="等线"/>
          <w:b w:val="0"/>
          <w:sz w:val="21"/>
          <w:highlight w:val="yellow"/>
        </w:rPr>
        <w:t>[X]</w:t>
      </w:r>
      <w:r>
        <w:rPr>
          <w:rFonts w:ascii="等线" w:hAnsi="等线" w:eastAsia="等线"/>
          <w:b w:val="0"/>
          <w:sz w:val="21"/>
        </w:rPr>
        <w:t>立方米/年。</w:t>
      </w:r>
    </w:p>
    <w:p>
      <w:pPr>
        <w:jc w:val="left"/>
      </w:pPr>
      <w:r>
        <w:rPr>
          <w:rFonts w:ascii="等线" w:hAnsi="等线" w:eastAsia="等线"/>
          <w:b w:val="0"/>
          <w:sz w:val="21"/>
        </w:rPr>
        <w:t>5. 提高资源利用率</w:t>
      </w:r>
    </w:p>
    <w:p>
      <w:pPr>
        <w:jc w:val="left"/>
      </w:pPr>
      <w:r>
        <w:rPr>
          <w:rFonts w:ascii="等线" w:hAnsi="等线" w:eastAsia="等线"/>
          <w:b w:val="0"/>
          <w:sz w:val="21"/>
        </w:rPr>
        <w:t>6. 对于办公设备，建立了设备共享机制。例如，打印机等设备的共享使用，提高了设备的使用效率，设备闲置率降低了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7. 在数据中心方面，优化服务器布局和运行模式，提高了服务器的资源利用率，能源利用效率提高了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8. 使用可再生资源</w:t>
      </w:r>
    </w:p>
    <w:p>
      <w:pPr>
        <w:jc w:val="left"/>
      </w:pPr>
      <w:r>
        <w:rPr>
          <w:rFonts w:ascii="等线" w:hAnsi="等线" w:eastAsia="等线"/>
          <w:b w:val="0"/>
          <w:sz w:val="21"/>
        </w:rPr>
        <w:t>9. 在能源供应上，部分网点开始使用太阳能光伏发电系统，目前可再生能源在总能源消耗中的占比达到了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10. 在办公用品采购方面，优先采购由可再生材料制成的产品，如再生纸制品，目前再生纸制品在纸张采购总量中的占比为</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11. 预防和减少废弃物的产生以及回收利用废弃物</w:t>
      </w:r>
    </w:p>
    <w:p>
      <w:pPr>
        <w:jc w:val="left"/>
      </w:pPr>
      <w:r>
        <w:rPr>
          <w:rFonts w:ascii="等线" w:hAnsi="等线" w:eastAsia="等线"/>
          <w:b w:val="0"/>
          <w:sz w:val="21"/>
        </w:rPr>
        <w:t>12. 推行绿色办公理念，减少一次性用品的使用，一次性用品的使用量降低了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13. 建立废弃物分类回收体系，对纸张、塑料、金属等废弃物进行分类回收。报告期内，纸张废弃物回收量达到</w:t>
      </w:r>
      <w:r>
        <w:rPr>
          <w:rFonts w:ascii="等线" w:hAnsi="等线" w:eastAsia="等线"/>
          <w:b w:val="0"/>
          <w:sz w:val="21"/>
          <w:highlight w:val="yellow"/>
        </w:rPr>
        <w:t>[X]</w:t>
      </w:r>
      <w:r>
        <w:rPr>
          <w:rFonts w:ascii="等线" w:hAnsi="等线" w:eastAsia="等线"/>
          <w:b w:val="0"/>
          <w:sz w:val="21"/>
        </w:rPr>
        <w:t>吨，塑料废弃物回收量为</w:t>
      </w:r>
      <w:r>
        <w:rPr>
          <w:rFonts w:ascii="等线" w:hAnsi="等线" w:eastAsia="等线"/>
          <w:b w:val="0"/>
          <w:sz w:val="21"/>
          <w:highlight w:val="yellow"/>
        </w:rPr>
        <w:t>[X]</w:t>
      </w:r>
      <w:r>
        <w:rPr>
          <w:rFonts w:ascii="等线" w:hAnsi="等线" w:eastAsia="等线"/>
          <w:b w:val="0"/>
          <w:sz w:val="21"/>
        </w:rPr>
        <w:t>吨，金属废弃物回收量为</w:t>
      </w:r>
      <w:r>
        <w:rPr>
          <w:rFonts w:ascii="等线" w:hAnsi="等线" w:eastAsia="等线"/>
          <w:b w:val="0"/>
          <w:sz w:val="21"/>
          <w:highlight w:val="yellow"/>
        </w:rPr>
        <w:t>[X]</w:t>
      </w:r>
      <w:r>
        <w:rPr>
          <w:rFonts w:ascii="等线" w:hAnsi="等线" w:eastAsia="等线"/>
          <w:b w:val="0"/>
          <w:sz w:val="21"/>
        </w:rPr>
        <w:t>吨。废弃物的总回收利用率达到了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三、在实现循环经济目标方面取得的具体进展及成效</w:t>
      </w:r>
    </w:p>
    <w:p>
      <w:pPr>
        <w:jc w:val="left"/>
      </w:pPr>
      <w:r>
        <w:rPr>
          <w:rFonts w:ascii="等线" w:hAnsi="等线" w:eastAsia="等线"/>
          <w:b w:val="0"/>
          <w:sz w:val="21"/>
        </w:rPr>
        <w:t>1. 废弃物的回收及综合利用情况</w:t>
      </w:r>
    </w:p>
    <w:p>
      <w:pPr>
        <w:jc w:val="left"/>
      </w:pPr>
      <w:r>
        <w:rPr>
          <w:rFonts w:ascii="等线" w:hAnsi="等线" w:eastAsia="等线"/>
          <w:b w:val="0"/>
          <w:sz w:val="21"/>
        </w:rPr>
        <w:t>2. 废弃物循环利用量方面，纸张废弃物中有</w:t>
      </w:r>
      <w:r>
        <w:rPr>
          <w:rFonts w:ascii="等线" w:hAnsi="等线" w:eastAsia="等线"/>
          <w:b w:val="0"/>
          <w:sz w:val="21"/>
          <w:highlight w:val="yellow"/>
        </w:rPr>
        <w:t>[X]</w:t>
      </w:r>
      <w:r>
        <w:rPr>
          <w:rFonts w:ascii="等线" w:hAnsi="等线" w:eastAsia="等线"/>
          <w:b w:val="0"/>
          <w:sz w:val="21"/>
        </w:rPr>
        <w:t>吨被重新加工制成纸制品再次利用，塑料废弃物中有</w:t>
      </w:r>
      <w:r>
        <w:rPr>
          <w:rFonts w:ascii="等线" w:hAnsi="等线" w:eastAsia="等线"/>
          <w:b w:val="0"/>
          <w:sz w:val="21"/>
          <w:highlight w:val="yellow"/>
        </w:rPr>
        <w:t>[X]</w:t>
      </w:r>
      <w:r>
        <w:rPr>
          <w:rFonts w:ascii="等线" w:hAnsi="等线" w:eastAsia="等线"/>
          <w:b w:val="0"/>
          <w:sz w:val="21"/>
        </w:rPr>
        <w:t>吨被回收制成塑料制品。废弃物循环利用量较上一报告期增长了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可再生资源消耗量及占相应资源总消耗量的比例</w:t>
      </w:r>
    </w:p>
    <w:p>
      <w:pPr>
        <w:jc w:val="left"/>
      </w:pPr>
      <w:r>
        <w:rPr>
          <w:rFonts w:ascii="等线" w:hAnsi="等线" w:eastAsia="等线"/>
          <w:b w:val="0"/>
          <w:sz w:val="21"/>
        </w:rPr>
        <w:t>4. 可再生能源消耗量达到了</w:t>
      </w:r>
      <w:r>
        <w:rPr>
          <w:rFonts w:ascii="等线" w:hAnsi="等线" w:eastAsia="等线"/>
          <w:b w:val="0"/>
          <w:sz w:val="21"/>
          <w:highlight w:val="yellow"/>
        </w:rPr>
        <w:t>[X]</w:t>
      </w:r>
      <w:r>
        <w:rPr>
          <w:rFonts w:ascii="等线" w:hAnsi="等线" w:eastAsia="等线"/>
          <w:b w:val="0"/>
          <w:sz w:val="21"/>
        </w:rPr>
        <w:t>千瓦时，在总能源消耗中的占比为</w:t>
      </w:r>
      <w:r>
        <w:rPr>
          <w:rFonts w:ascii="等线" w:hAnsi="等线" w:eastAsia="等线"/>
          <w:b w:val="0"/>
          <w:sz w:val="21"/>
          <w:highlight w:val="yellow"/>
        </w:rPr>
        <w:t>[X]</w:t>
      </w:r>
      <w:r>
        <w:rPr>
          <w:rFonts w:ascii="等线" w:hAnsi="等线" w:eastAsia="等线"/>
          <w:b w:val="0"/>
          <w:sz w:val="21"/>
        </w:rPr>
        <w:t>%，较上一报告期提高了</w:t>
      </w:r>
      <w:r>
        <w:rPr>
          <w:rFonts w:ascii="等线" w:hAnsi="等线" w:eastAsia="等线"/>
          <w:b w:val="0"/>
          <w:sz w:val="21"/>
          <w:highlight w:val="yellow"/>
        </w:rPr>
        <w:t>[X]</w:t>
      </w:r>
      <w:r>
        <w:rPr>
          <w:rFonts w:ascii="等线" w:hAnsi="等线" w:eastAsia="等线"/>
          <w:b w:val="0"/>
          <w:sz w:val="21"/>
        </w:rPr>
        <w:t>个百分点。在纸张资源方面，可再生纸制品的消耗量占纸张总消耗量的比例为</w:t>
      </w:r>
      <w:r>
        <w:rPr>
          <w:rFonts w:ascii="等线" w:hAnsi="等线" w:eastAsia="等线"/>
          <w:b w:val="0"/>
          <w:sz w:val="21"/>
          <w:highlight w:val="yellow"/>
        </w:rPr>
        <w:t>[X]</w:t>
      </w:r>
      <w:r>
        <w:rPr>
          <w:rFonts w:ascii="等线" w:hAnsi="等线" w:eastAsia="等线"/>
          <w:b w:val="0"/>
          <w:sz w:val="21"/>
        </w:rPr>
        <w:t>%，较之前增长了</w:t>
      </w:r>
      <w:r>
        <w:rPr>
          <w:rFonts w:ascii="等线" w:hAnsi="等线" w:eastAsia="等线"/>
          <w:b w:val="0"/>
          <w:sz w:val="21"/>
          <w:highlight w:val="yellow"/>
        </w:rPr>
        <w:t>[X]</w:t>
      </w:r>
      <w:r>
        <w:rPr>
          <w:rFonts w:ascii="等线" w:hAnsi="等线" w:eastAsia="等线"/>
          <w:b w:val="0"/>
          <w:sz w:val="21"/>
        </w:rPr>
        <w:t>%。</w:t>
      </w:r>
    </w:p>
    <w:p>
      <w:r>
        <w:br w:type="page"/>
      </w:r>
    </w:p>
    <w:p>
      <w:pPr>
        <w:pStyle w:val="Heading1"/>
      </w:pPr>
      <w:r>
        <w:rPr>
          <w:rFonts w:ascii="等线" w:hAnsi="等线" w:eastAsia="等线"/>
          <w:color w:val="000000"/>
          <w:sz w:val="44"/>
        </w:rPr>
        <w:t>社会</w:t>
      </w:r>
    </w:p>
    <w:p>
      <w:pPr>
        <w:pStyle w:val="Heading2"/>
      </w:pPr>
      <w:r>
        <w:rPr>
          <w:rFonts w:ascii="等线" w:hAnsi="等线" w:eastAsia="等线"/>
          <w:color w:val="000000"/>
          <w:sz w:val="32"/>
        </w:rPr>
        <w:t>党建引领</w:t>
      </w:r>
    </w:p>
    <w:p>
      <w:pPr>
        <w:jc w:val="left"/>
      </w:pPr>
      <w:r>
        <w:rPr>
          <w:rFonts w:ascii="等线" w:hAnsi="等线" w:eastAsia="等线"/>
          <w:b w:val="0"/>
          <w:sz w:val="21"/>
        </w:rPr>
        <w:t>以下是一个面向国际市场的大型国有银行业企业ESG报告中社会 - 党建引领部分的内容模板：</w:t>
      </w:r>
    </w:p>
    <w:p>
      <w:pPr>
        <w:jc w:val="left"/>
      </w:pPr>
      <w:r>
        <w:rPr>
          <w:rFonts w:ascii="等线" w:hAnsi="等线" w:eastAsia="等线"/>
          <w:b w:val="0"/>
          <w:sz w:val="21"/>
        </w:rPr>
        <w:t>一、党建工作体系与组织架构</w:t>
      </w:r>
    </w:p>
    <w:p>
      <w:pPr>
        <w:jc w:val="left"/>
      </w:pPr>
      <w:r>
        <w:rPr>
          <w:rFonts w:ascii="等线" w:hAnsi="等线" w:eastAsia="等线"/>
          <w:b w:val="0"/>
          <w:sz w:val="21"/>
        </w:rPr>
        <w:t>1. 党组织覆盖度</w:t>
      </w:r>
    </w:p>
    <w:p>
      <w:pPr>
        <w:jc w:val="left"/>
      </w:pPr>
      <w:r>
        <w:rPr>
          <w:rFonts w:ascii="等线" w:hAnsi="等线" w:eastAsia="等线"/>
          <w:b w:val="0"/>
          <w:sz w:val="21"/>
        </w:rPr>
        <w:t>2. 在总行层面，设有</w:t>
      </w:r>
      <w:r>
        <w:rPr>
          <w:rFonts w:ascii="等线" w:hAnsi="等线" w:eastAsia="等线"/>
          <w:b w:val="0"/>
          <w:sz w:val="21"/>
          <w:highlight w:val="yellow"/>
        </w:rPr>
        <w:t>[X]</w:t>
      </w:r>
      <w:r>
        <w:rPr>
          <w:rFonts w:ascii="等线" w:hAnsi="等线" w:eastAsia="等线"/>
          <w:b w:val="0"/>
          <w:sz w:val="21"/>
        </w:rPr>
        <w:t>个党委部门，涵盖党建工作的各个方面，如组织、宣传、纪检等。全行共有党员</w:t>
      </w:r>
      <w:r>
        <w:rPr>
          <w:rFonts w:ascii="等线" w:hAnsi="等线" w:eastAsia="等线"/>
          <w:b w:val="0"/>
          <w:sz w:val="21"/>
          <w:highlight w:val="yellow"/>
        </w:rPr>
        <w:t>[X]</w:t>
      </w:r>
      <w:r>
        <w:rPr>
          <w:rFonts w:ascii="等线" w:hAnsi="等线" w:eastAsia="等线"/>
          <w:b w:val="0"/>
          <w:sz w:val="21"/>
        </w:rPr>
        <w:t>名，占员工总数的</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在分行层面，</w:t>
      </w:r>
      <w:r>
        <w:rPr>
          <w:rFonts w:ascii="等线" w:hAnsi="等线" w:eastAsia="等线"/>
          <w:b w:val="0"/>
          <w:sz w:val="21"/>
          <w:highlight w:val="yellow"/>
        </w:rPr>
        <w:t>[X]</w:t>
      </w:r>
      <w:r>
        <w:rPr>
          <w:rFonts w:ascii="等线" w:hAnsi="等线" w:eastAsia="等线"/>
          <w:b w:val="0"/>
          <w:sz w:val="21"/>
        </w:rPr>
        <w:t>个分行均设立了党委，下属</w:t>
      </w:r>
      <w:r>
        <w:rPr>
          <w:rFonts w:ascii="等线" w:hAnsi="等线" w:eastAsia="等线"/>
          <w:b w:val="0"/>
          <w:sz w:val="21"/>
          <w:highlight w:val="yellow"/>
        </w:rPr>
        <w:t>[X]</w:t>
      </w:r>
      <w:r>
        <w:rPr>
          <w:rFonts w:ascii="等线" w:hAnsi="等线" w:eastAsia="等线"/>
          <w:b w:val="0"/>
          <w:sz w:val="21"/>
        </w:rPr>
        <w:t>个党支部，确保党建工作在各级机构的全面覆盖。</w:t>
      </w:r>
    </w:p>
    <w:p>
      <w:pPr>
        <w:jc w:val="left"/>
      </w:pPr>
      <w:r>
        <w:rPr>
          <w:rFonts w:ascii="等线" w:hAnsi="等线" w:eastAsia="等线"/>
          <w:b w:val="0"/>
          <w:sz w:val="21"/>
        </w:rPr>
        <w:t>4. 党建工作投入</w:t>
      </w:r>
    </w:p>
    <w:p>
      <w:pPr>
        <w:jc w:val="left"/>
      </w:pPr>
      <w:r>
        <w:rPr>
          <w:rFonts w:ascii="等线" w:hAnsi="等线" w:eastAsia="等线"/>
          <w:b w:val="0"/>
          <w:sz w:val="21"/>
        </w:rPr>
        <w:t>5. 每年投入党建工作专项经费达</w:t>
      </w:r>
      <w:r>
        <w:rPr>
          <w:rFonts w:ascii="等线" w:hAnsi="等线" w:eastAsia="等线"/>
          <w:b w:val="0"/>
          <w:sz w:val="21"/>
          <w:highlight w:val="yellow"/>
        </w:rPr>
        <w:t>[X]</w:t>
      </w:r>
      <w:r>
        <w:rPr>
          <w:rFonts w:ascii="等线" w:hAnsi="等线" w:eastAsia="等线"/>
          <w:b w:val="0"/>
          <w:sz w:val="21"/>
        </w:rPr>
        <w:t>美元，主要用于党员培训、党组织活动开展以及党建宣传等方面。例如，在党员培训方面，每年组织</w:t>
      </w:r>
      <w:r>
        <w:rPr>
          <w:rFonts w:ascii="等线" w:hAnsi="等线" w:eastAsia="等线"/>
          <w:b w:val="0"/>
          <w:sz w:val="21"/>
          <w:highlight w:val="yellow"/>
        </w:rPr>
        <w:t>[X]</w:t>
      </w:r>
      <w:r>
        <w:rPr>
          <w:rFonts w:ascii="等线" w:hAnsi="等线" w:eastAsia="等线"/>
          <w:b w:val="0"/>
          <w:sz w:val="21"/>
        </w:rPr>
        <w:t>次集中培训，每次培训覆盖党员人数平均达到</w:t>
      </w:r>
      <w:r>
        <w:rPr>
          <w:rFonts w:ascii="等线" w:hAnsi="等线" w:eastAsia="等线"/>
          <w:b w:val="0"/>
          <w:sz w:val="21"/>
          <w:highlight w:val="yellow"/>
        </w:rPr>
        <w:t>[X]</w:t>
      </w:r>
      <w:r>
        <w:rPr>
          <w:rFonts w:ascii="等线" w:hAnsi="等线" w:eastAsia="等线"/>
          <w:b w:val="0"/>
          <w:sz w:val="21"/>
        </w:rPr>
        <w:t>人，培训内容包括党的理论知识、党性修养提升等。</w:t>
      </w:r>
    </w:p>
    <w:p>
      <w:pPr>
        <w:jc w:val="left"/>
      </w:pPr>
      <w:r>
        <w:rPr>
          <w:rFonts w:ascii="等线" w:hAnsi="等线" w:eastAsia="等线"/>
          <w:b w:val="0"/>
          <w:sz w:val="21"/>
        </w:rPr>
        <w:t>二、党建引领企业治理</w:t>
      </w:r>
    </w:p>
    <w:p>
      <w:pPr>
        <w:jc w:val="left"/>
      </w:pPr>
      <w:r>
        <w:rPr>
          <w:rFonts w:ascii="等线" w:hAnsi="等线" w:eastAsia="等线"/>
          <w:b w:val="0"/>
          <w:sz w:val="21"/>
        </w:rPr>
        <w:t>1. 决策机制中的党建因素</w:t>
      </w:r>
    </w:p>
    <w:p>
      <w:pPr>
        <w:jc w:val="left"/>
      </w:pPr>
      <w:r>
        <w:rPr>
          <w:rFonts w:ascii="等线" w:hAnsi="等线" w:eastAsia="等线"/>
          <w:b w:val="0"/>
          <w:sz w:val="21"/>
        </w:rPr>
        <w:t>2. 在银行的重大决策过程中，党委发挥着重要的前置研究讨论作用。例如，在</w:t>
      </w:r>
      <w:r>
        <w:rPr>
          <w:rFonts w:ascii="等线" w:hAnsi="等线" w:eastAsia="等线"/>
          <w:b w:val="0"/>
          <w:sz w:val="21"/>
          <w:highlight w:val="yellow"/>
        </w:rPr>
        <w:t>[具体年份]</w:t>
      </w:r>
      <w:r>
        <w:rPr>
          <w:rFonts w:ascii="等线" w:hAnsi="等线" w:eastAsia="等线"/>
          <w:b w:val="0"/>
          <w:sz w:val="21"/>
        </w:rPr>
        <w:t>，对于</w:t>
      </w:r>
      <w:r>
        <w:rPr>
          <w:rFonts w:ascii="等线" w:hAnsi="等线" w:eastAsia="等线"/>
          <w:b w:val="0"/>
          <w:sz w:val="21"/>
          <w:highlight w:val="yellow"/>
        </w:rPr>
        <w:t>[X]</w:t>
      </w:r>
      <w:r>
        <w:rPr>
          <w:rFonts w:ascii="等线" w:hAnsi="等线" w:eastAsia="等线"/>
          <w:b w:val="0"/>
          <w:sz w:val="21"/>
        </w:rPr>
        <w:t>项重大投资决策（总金额达</w:t>
      </w:r>
      <w:r>
        <w:rPr>
          <w:rFonts w:ascii="等线" w:hAnsi="等线" w:eastAsia="等线"/>
          <w:b w:val="0"/>
          <w:sz w:val="21"/>
          <w:highlight w:val="yellow"/>
        </w:rPr>
        <w:t>[X]</w:t>
      </w:r>
      <w:r>
        <w:rPr>
          <w:rFonts w:ascii="等线" w:hAnsi="等线" w:eastAsia="等线"/>
          <w:b w:val="0"/>
          <w:sz w:val="21"/>
        </w:rPr>
        <w:t>美元），党委先行进行研究讨论，从政治方向、社会责任等多方面进行把关，确保决策符合国家战略和社会利益。</w:t>
      </w:r>
    </w:p>
    <w:p>
      <w:pPr>
        <w:jc w:val="left"/>
      </w:pPr>
      <w:r>
        <w:rPr>
          <w:rFonts w:ascii="等线" w:hAnsi="等线" w:eastAsia="等线"/>
          <w:b w:val="0"/>
          <w:sz w:val="21"/>
        </w:rPr>
        <w:t>3. 党委成员在董事会、监事会和高级管理层中的占比分别为</w:t>
      </w:r>
      <w:r>
        <w:rPr>
          <w:rFonts w:ascii="等线" w:hAnsi="等线" w:eastAsia="等线"/>
          <w:b w:val="0"/>
          <w:sz w:val="21"/>
          <w:highlight w:val="yellow"/>
        </w:rPr>
        <w:t>[X]</w:t>
      </w:r>
      <w:r>
        <w:rPr>
          <w:rFonts w:ascii="等线" w:hAnsi="等线" w:eastAsia="等线"/>
          <w:b w:val="0"/>
          <w:sz w:val="21"/>
        </w:rPr>
        <w:t>%、</w:t>
      </w:r>
      <w:r>
        <w:rPr>
          <w:rFonts w:ascii="等线" w:hAnsi="等线" w:eastAsia="等线"/>
          <w:b w:val="0"/>
          <w:sz w:val="21"/>
          <w:highlight w:val="yellow"/>
        </w:rPr>
        <w:t>[X]</w:t>
      </w:r>
      <w:r>
        <w:rPr>
          <w:rFonts w:ascii="等线" w:hAnsi="等线" w:eastAsia="等线"/>
          <w:b w:val="0"/>
          <w:sz w:val="21"/>
        </w:rPr>
        <w:t>%和</w:t>
      </w:r>
      <w:r>
        <w:rPr>
          <w:rFonts w:ascii="等线" w:hAnsi="等线" w:eastAsia="等线"/>
          <w:b w:val="0"/>
          <w:sz w:val="21"/>
          <w:highlight w:val="yellow"/>
        </w:rPr>
        <w:t>[X]</w:t>
      </w:r>
      <w:r>
        <w:rPr>
          <w:rFonts w:ascii="等线" w:hAnsi="等线" w:eastAsia="等线"/>
          <w:b w:val="0"/>
          <w:sz w:val="21"/>
        </w:rPr>
        <w:t>%，通过这种交叉任职的方式，将党的领导融入公司治理的各个环节。</w:t>
      </w:r>
    </w:p>
    <w:p>
      <w:pPr>
        <w:jc w:val="left"/>
      </w:pPr>
      <w:r>
        <w:rPr>
          <w:rFonts w:ascii="等线" w:hAnsi="等线" w:eastAsia="等线"/>
          <w:b w:val="0"/>
          <w:sz w:val="21"/>
        </w:rPr>
        <w:t>4. 风险管理中的党建引领</w:t>
      </w:r>
    </w:p>
    <w:p>
      <w:pPr>
        <w:jc w:val="left"/>
      </w:pPr>
      <w:r>
        <w:rPr>
          <w:rFonts w:ascii="等线" w:hAnsi="等线" w:eastAsia="等线"/>
          <w:b w:val="0"/>
          <w:sz w:val="21"/>
        </w:rPr>
        <w:t>5. 在风险管理方面，党员干部发挥着先锋模范作用。全行</w:t>
      </w:r>
      <w:r>
        <w:rPr>
          <w:rFonts w:ascii="等线" w:hAnsi="等线" w:eastAsia="等线"/>
          <w:b w:val="0"/>
          <w:sz w:val="21"/>
          <w:highlight w:val="yellow"/>
        </w:rPr>
        <w:t>[X]</w:t>
      </w:r>
      <w:r>
        <w:rPr>
          <w:rFonts w:ascii="等线" w:hAnsi="等线" w:eastAsia="等线"/>
          <w:b w:val="0"/>
          <w:sz w:val="21"/>
        </w:rPr>
        <w:t>%的风险管理岗位由党员担任。在信贷风险管理中，党员主导的风险管理团队对</w:t>
      </w:r>
      <w:r>
        <w:rPr>
          <w:rFonts w:ascii="等线" w:hAnsi="等线" w:eastAsia="等线"/>
          <w:b w:val="0"/>
          <w:sz w:val="21"/>
          <w:highlight w:val="yellow"/>
        </w:rPr>
        <w:t>[X]</w:t>
      </w:r>
      <w:r>
        <w:rPr>
          <w:rFonts w:ascii="等线" w:hAnsi="等线" w:eastAsia="等线"/>
          <w:b w:val="0"/>
          <w:sz w:val="21"/>
        </w:rPr>
        <w:t>笔贷款（总金额为</w:t>
      </w:r>
      <w:r>
        <w:rPr>
          <w:rFonts w:ascii="等线" w:hAnsi="等线" w:eastAsia="等线"/>
          <w:b w:val="0"/>
          <w:sz w:val="21"/>
          <w:highlight w:val="yellow"/>
        </w:rPr>
        <w:t>[X]</w:t>
      </w:r>
      <w:r>
        <w:rPr>
          <w:rFonts w:ascii="等线" w:hAnsi="等线" w:eastAsia="等线"/>
          <w:b w:val="0"/>
          <w:sz w:val="21"/>
        </w:rPr>
        <w:t>美元）进行了严格的风险评估，不良贷款率较非党员主导的团队评估结果低</w:t>
      </w:r>
      <w:r>
        <w:rPr>
          <w:rFonts w:ascii="等线" w:hAnsi="等线" w:eastAsia="等线"/>
          <w:b w:val="0"/>
          <w:sz w:val="21"/>
          <w:highlight w:val="yellow"/>
        </w:rPr>
        <w:t>[X]</w:t>
      </w:r>
      <w:r>
        <w:rPr>
          <w:rFonts w:ascii="等线" w:hAnsi="等线" w:eastAsia="等线"/>
          <w:b w:val="0"/>
          <w:sz w:val="21"/>
        </w:rPr>
        <w:t>个百分点。</w:t>
      </w:r>
    </w:p>
    <w:p>
      <w:pPr>
        <w:jc w:val="left"/>
      </w:pPr>
      <w:r>
        <w:rPr>
          <w:rFonts w:ascii="等线" w:hAnsi="等线" w:eastAsia="等线"/>
          <w:b w:val="0"/>
          <w:sz w:val="21"/>
        </w:rPr>
        <w:t>三、党建与社会责任履行</w:t>
      </w:r>
    </w:p>
    <w:p>
      <w:pPr>
        <w:jc w:val="left"/>
      </w:pPr>
      <w:r>
        <w:rPr>
          <w:rFonts w:ascii="等线" w:hAnsi="等线" w:eastAsia="等线"/>
          <w:b w:val="0"/>
          <w:sz w:val="21"/>
        </w:rPr>
        <w:t>1. 服务国家战略</w:t>
      </w:r>
    </w:p>
    <w:p>
      <w:pPr>
        <w:jc w:val="left"/>
      </w:pPr>
      <w:r>
        <w:rPr>
          <w:rFonts w:ascii="等线" w:hAnsi="等线" w:eastAsia="等线"/>
          <w:b w:val="0"/>
          <w:sz w:val="21"/>
        </w:rPr>
        <w:t>2. 在支持国家重大项目建设方面，积极响应国家政策。例如，为</w:t>
      </w:r>
      <w:r>
        <w:rPr>
          <w:rFonts w:ascii="等线" w:hAnsi="等线" w:eastAsia="等线"/>
          <w:b w:val="0"/>
          <w:sz w:val="21"/>
          <w:highlight w:val="yellow"/>
        </w:rPr>
        <w:t>[具体国家战略项目名称]</w:t>
      </w:r>
      <w:r>
        <w:rPr>
          <w:rFonts w:ascii="等线" w:hAnsi="等线" w:eastAsia="等线"/>
          <w:b w:val="0"/>
          <w:sz w:val="21"/>
        </w:rPr>
        <w:t>提供了</w:t>
      </w:r>
      <w:r>
        <w:rPr>
          <w:rFonts w:ascii="等线" w:hAnsi="等线" w:eastAsia="等线"/>
          <w:b w:val="0"/>
          <w:sz w:val="21"/>
          <w:highlight w:val="yellow"/>
        </w:rPr>
        <w:t>[X]</w:t>
      </w:r>
      <w:r>
        <w:rPr>
          <w:rFonts w:ascii="等线" w:hAnsi="等线" w:eastAsia="等线"/>
          <w:b w:val="0"/>
          <w:sz w:val="21"/>
        </w:rPr>
        <w:t>美元的融资支持。其中，党员先锋队在项目对接、融资方案设计等环节发挥了关键作用，累计参与项目服务时长达到</w:t>
      </w:r>
      <w:r>
        <w:rPr>
          <w:rFonts w:ascii="等线" w:hAnsi="等线" w:eastAsia="等线"/>
          <w:b w:val="0"/>
          <w:sz w:val="21"/>
          <w:highlight w:val="yellow"/>
        </w:rPr>
        <w:t>[X]</w:t>
      </w:r>
      <w:r>
        <w:rPr>
          <w:rFonts w:ascii="等线" w:hAnsi="等线" w:eastAsia="等线"/>
          <w:b w:val="0"/>
          <w:sz w:val="21"/>
        </w:rPr>
        <w:t>小时。</w:t>
      </w:r>
    </w:p>
    <w:p>
      <w:pPr>
        <w:jc w:val="left"/>
      </w:pPr>
      <w:r>
        <w:rPr>
          <w:rFonts w:ascii="等线" w:hAnsi="等线" w:eastAsia="等线"/>
          <w:b w:val="0"/>
          <w:sz w:val="21"/>
        </w:rPr>
        <w:t>3. 在乡村振兴战略中，通过党建共建等方式，在</w:t>
      </w:r>
      <w:r>
        <w:rPr>
          <w:rFonts w:ascii="等线" w:hAnsi="等线" w:eastAsia="等线"/>
          <w:b w:val="0"/>
          <w:sz w:val="21"/>
          <w:highlight w:val="yellow"/>
        </w:rPr>
        <w:t>[X]</w:t>
      </w:r>
      <w:r>
        <w:rPr>
          <w:rFonts w:ascii="等线" w:hAnsi="等线" w:eastAsia="等线"/>
          <w:b w:val="0"/>
          <w:sz w:val="21"/>
        </w:rPr>
        <w:t>个农村地区设立了金融服务站，党员志愿者定期到服务站为农民提供金融知识普及和金融服务，累计服务农民</w:t>
      </w:r>
      <w:r>
        <w:rPr>
          <w:rFonts w:ascii="等线" w:hAnsi="等线" w:eastAsia="等线"/>
          <w:b w:val="0"/>
          <w:sz w:val="21"/>
          <w:highlight w:val="yellow"/>
        </w:rPr>
        <w:t>[X]</w:t>
      </w:r>
      <w:r>
        <w:rPr>
          <w:rFonts w:ascii="等线" w:hAnsi="等线" w:eastAsia="等线"/>
          <w:b w:val="0"/>
          <w:sz w:val="21"/>
        </w:rPr>
        <w:t>人次，发放涉农贷款</w:t>
      </w:r>
      <w:r>
        <w:rPr>
          <w:rFonts w:ascii="等线" w:hAnsi="等线" w:eastAsia="等线"/>
          <w:b w:val="0"/>
          <w:sz w:val="21"/>
          <w:highlight w:val="yellow"/>
        </w:rPr>
        <w:t>[X]</w:t>
      </w:r>
      <w:r>
        <w:rPr>
          <w:rFonts w:ascii="等线" w:hAnsi="等线" w:eastAsia="等线"/>
          <w:b w:val="0"/>
          <w:sz w:val="21"/>
        </w:rPr>
        <w:t>美元。</w:t>
      </w:r>
    </w:p>
    <w:p>
      <w:pPr>
        <w:jc w:val="left"/>
      </w:pPr>
      <w:r>
        <w:rPr>
          <w:rFonts w:ascii="等线" w:hAnsi="等线" w:eastAsia="等线"/>
          <w:b w:val="0"/>
          <w:sz w:val="21"/>
        </w:rPr>
        <w:t>4. 促进社会公平与包容</w:t>
      </w:r>
    </w:p>
    <w:p>
      <w:pPr>
        <w:jc w:val="left"/>
      </w:pPr>
      <w:r>
        <w:rPr>
          <w:rFonts w:ascii="等线" w:hAnsi="等线" w:eastAsia="等线"/>
          <w:b w:val="0"/>
          <w:sz w:val="21"/>
        </w:rPr>
        <w:t>5. 在就业方面，积极落实国家就业政策，优先招聘贫困地区和少数民族地区的员工。</w:t>
      </w:r>
      <w:r>
        <w:rPr>
          <w:rFonts w:ascii="等线" w:hAnsi="等线" w:eastAsia="等线"/>
          <w:b w:val="0"/>
          <w:sz w:val="21"/>
          <w:highlight w:val="yellow"/>
        </w:rPr>
        <w:t>[具体年份]</w:t>
      </w:r>
      <w:r>
        <w:rPr>
          <w:rFonts w:ascii="等线" w:hAnsi="等线" w:eastAsia="等线"/>
          <w:b w:val="0"/>
          <w:sz w:val="21"/>
        </w:rPr>
        <w:t>招聘的新员工中，来自贫困地区和少数民族地区的员工占比达到</w:t>
      </w:r>
      <w:r>
        <w:rPr>
          <w:rFonts w:ascii="等线" w:hAnsi="等线" w:eastAsia="等线"/>
          <w:b w:val="0"/>
          <w:sz w:val="21"/>
          <w:highlight w:val="yellow"/>
        </w:rPr>
        <w:t>[X]</w:t>
      </w:r>
      <w:r>
        <w:rPr>
          <w:rFonts w:ascii="等线" w:hAnsi="等线" w:eastAsia="等线"/>
          <w:b w:val="0"/>
          <w:sz w:val="21"/>
        </w:rPr>
        <w:t>%，其中党员员工主动承担对新员工的帮扶和培训工作，人均帮扶时长达到</w:t>
      </w:r>
      <w:r>
        <w:rPr>
          <w:rFonts w:ascii="等线" w:hAnsi="等线" w:eastAsia="等线"/>
          <w:b w:val="0"/>
          <w:sz w:val="21"/>
          <w:highlight w:val="yellow"/>
        </w:rPr>
        <w:t>[X]</w:t>
      </w:r>
      <w:r>
        <w:rPr>
          <w:rFonts w:ascii="等线" w:hAnsi="等线" w:eastAsia="等线"/>
          <w:b w:val="0"/>
          <w:sz w:val="21"/>
        </w:rPr>
        <w:t>小时。</w:t>
      </w:r>
    </w:p>
    <w:p>
      <w:pPr>
        <w:jc w:val="left"/>
      </w:pPr>
      <w:r>
        <w:rPr>
          <w:rFonts w:ascii="等线" w:hAnsi="等线" w:eastAsia="等线"/>
          <w:b w:val="0"/>
          <w:sz w:val="21"/>
        </w:rPr>
        <w:t>6. 在金融服务普及方面，开展了</w:t>
      </w:r>
      <w:r>
        <w:rPr>
          <w:rFonts w:ascii="等线" w:hAnsi="等线" w:eastAsia="等线"/>
          <w:b w:val="0"/>
          <w:sz w:val="21"/>
          <w:highlight w:val="yellow"/>
        </w:rPr>
        <w:t>[X]</w:t>
      </w:r>
      <w:r>
        <w:rPr>
          <w:rFonts w:ascii="等线" w:hAnsi="等线" w:eastAsia="等线"/>
          <w:b w:val="0"/>
          <w:sz w:val="21"/>
        </w:rPr>
        <w:t>次针对弱势群体（如老年人、残疾人等）的金融服务专项活动，党员带头参与活动策划和执行，活动覆盖人数达到</w:t>
      </w:r>
      <w:r>
        <w:rPr>
          <w:rFonts w:ascii="等线" w:hAnsi="等线" w:eastAsia="等线"/>
          <w:b w:val="0"/>
          <w:sz w:val="21"/>
          <w:highlight w:val="yellow"/>
        </w:rPr>
        <w:t>[X]</w:t>
      </w:r>
      <w:r>
        <w:rPr>
          <w:rFonts w:ascii="等线" w:hAnsi="等线" w:eastAsia="等线"/>
          <w:b w:val="0"/>
          <w:sz w:val="21"/>
        </w:rPr>
        <w:t>人，确保这些群体能够平等地享受金融服务。</w:t>
      </w:r>
    </w:p>
    <w:p>
      <w:pPr>
        <w:pStyle w:val="Heading2"/>
      </w:pPr>
      <w:r>
        <w:rPr>
          <w:rFonts w:ascii="等线" w:hAnsi="等线" w:eastAsia="等线"/>
          <w:color w:val="000000"/>
          <w:sz w:val="32"/>
        </w:rPr>
        <w:t>乡村振兴</w:t>
      </w:r>
    </w:p>
    <w:p>
      <w:pPr>
        <w:jc w:val="left"/>
      </w:pPr>
      <w:r>
        <w:rPr>
          <w:rFonts w:ascii="等线" w:hAnsi="等线" w:eastAsia="等线"/>
          <w:b w:val="0"/>
          <w:sz w:val="21"/>
        </w:rPr>
        <w:t>在本报告期内，本银行积极投身乡村振兴战略，在支持乡村和脱贫地区发展方面取得了显著成果。</w:t>
      </w:r>
    </w:p>
    <w:p>
      <w:pPr>
        <w:jc w:val="left"/>
      </w:pPr>
      <w:r>
        <w:rPr>
          <w:rFonts w:ascii="等线" w:hAnsi="等线" w:eastAsia="等线"/>
          <w:b w:val="0"/>
          <w:sz w:val="21"/>
        </w:rPr>
        <w:t>一、支持乡村振兴融入公司战略情况</w:t>
      </w:r>
    </w:p>
    <w:p>
      <w:pPr>
        <w:jc w:val="left"/>
      </w:pPr>
      <w:r>
        <w:rPr>
          <w:rFonts w:ascii="等线" w:hAnsi="等线" w:eastAsia="等线"/>
          <w:b w:val="0"/>
          <w:sz w:val="21"/>
        </w:rPr>
        <w:t>本银行在乡村和脱贫地区业务占比较高，基于此，将支持乡村振兴、巩固拓展脱贫攻坚成果深度融入公司战略。我们明确制定了长期战略规划，设定了在乡村地区业务增长的目标，计划在未来</w:t>
      </w:r>
      <w:r>
        <w:rPr>
          <w:rFonts w:ascii="等线" w:hAnsi="等线" w:eastAsia="等线"/>
          <w:b w:val="0"/>
          <w:sz w:val="21"/>
          <w:highlight w:val="yellow"/>
        </w:rPr>
        <w:t>[X]</w:t>
      </w:r>
      <w:r>
        <w:rPr>
          <w:rFonts w:ascii="等线" w:hAnsi="等线" w:eastAsia="等线"/>
          <w:b w:val="0"/>
          <w:sz w:val="21"/>
        </w:rPr>
        <w:t>年内，将乡村地区业务规模提升</w:t>
      </w:r>
      <w:r>
        <w:rPr>
          <w:rFonts w:ascii="等线" w:hAnsi="等线" w:eastAsia="等线"/>
          <w:b w:val="0"/>
          <w:sz w:val="21"/>
          <w:highlight w:val="yellow"/>
        </w:rPr>
        <w:t>[X]</w:t>
      </w:r>
      <w:r>
        <w:rPr>
          <w:rFonts w:ascii="等线" w:hAnsi="等线" w:eastAsia="等线"/>
          <w:b w:val="0"/>
          <w:sz w:val="21"/>
        </w:rPr>
        <w:t>%。在资源分配方面，确保每年有不少于</w:t>
      </w:r>
      <w:r>
        <w:rPr>
          <w:rFonts w:ascii="等线" w:hAnsi="等线" w:eastAsia="等线"/>
          <w:b w:val="0"/>
          <w:sz w:val="21"/>
          <w:highlight w:val="yellow"/>
        </w:rPr>
        <w:t>[X]</w:t>
      </w:r>
      <w:r>
        <w:rPr>
          <w:rFonts w:ascii="等线" w:hAnsi="等线" w:eastAsia="等线"/>
          <w:b w:val="0"/>
          <w:sz w:val="21"/>
        </w:rPr>
        <w:t>%的信贷资源投向乡村和脱贫地区。同时，在内部考核机制中，将支持乡村振兴相关指标纳入绩效考核体系，占比达到</w:t>
      </w:r>
      <w:r>
        <w:rPr>
          <w:rFonts w:ascii="等线" w:hAnsi="等线" w:eastAsia="等线"/>
          <w:b w:val="0"/>
          <w:sz w:val="21"/>
          <w:highlight w:val="yellow"/>
        </w:rPr>
        <w:t>[X]</w:t>
      </w:r>
      <w:r>
        <w:rPr>
          <w:rFonts w:ascii="等线" w:hAnsi="等线" w:eastAsia="等线"/>
          <w:b w:val="0"/>
          <w:sz w:val="21"/>
        </w:rPr>
        <w:t>%，以此激励全体员工积极参与乡村振兴工作。</w:t>
      </w:r>
    </w:p>
    <w:p>
      <w:pPr>
        <w:jc w:val="left"/>
      </w:pPr>
      <w:r>
        <w:rPr>
          <w:rFonts w:ascii="等线" w:hAnsi="等线" w:eastAsia="等线"/>
          <w:b w:val="0"/>
          <w:sz w:val="21"/>
        </w:rPr>
        <w:t>二、支持乡村振兴的具体措施</w:t>
      </w:r>
    </w:p>
    <w:p>
      <w:pPr>
        <w:jc w:val="left"/>
      </w:pPr>
      <w:r>
        <w:rPr>
          <w:rFonts w:ascii="等线" w:hAnsi="等线" w:eastAsia="等线"/>
          <w:b w:val="0"/>
          <w:sz w:val="21"/>
        </w:rPr>
        <w:t>1. 支持乡村特色产业发展针对乡村特色产业，我们开展了一系列金融扶持措施。例如，为</w:t>
      </w:r>
      <w:r>
        <w:rPr>
          <w:rFonts w:ascii="等线" w:hAnsi="等线" w:eastAsia="等线"/>
          <w:b w:val="0"/>
          <w:sz w:val="21"/>
          <w:highlight w:val="yellow"/>
        </w:rPr>
        <w:t>[具体产业名称]</w:t>
      </w:r>
      <w:r>
        <w:rPr>
          <w:rFonts w:ascii="等线" w:hAnsi="等线" w:eastAsia="等线"/>
          <w:b w:val="0"/>
          <w:sz w:val="21"/>
        </w:rPr>
        <w:t>产业提供定制化的金融产品，降低贷款利率至</w:t>
      </w:r>
      <w:r>
        <w:rPr>
          <w:rFonts w:ascii="等线" w:hAnsi="等线" w:eastAsia="等线"/>
          <w:b w:val="0"/>
          <w:sz w:val="21"/>
          <w:highlight w:val="yellow"/>
        </w:rPr>
        <w:t>[X]</w:t>
      </w:r>
      <w:r>
        <w:rPr>
          <w:rFonts w:ascii="等线" w:hAnsi="等线" w:eastAsia="等线"/>
          <w:b w:val="0"/>
          <w:sz w:val="21"/>
        </w:rPr>
        <w:t>%，放宽贷款期限至</w:t>
      </w:r>
      <w:r>
        <w:rPr>
          <w:rFonts w:ascii="等线" w:hAnsi="等线" w:eastAsia="等线"/>
          <w:b w:val="0"/>
          <w:sz w:val="21"/>
          <w:highlight w:val="yellow"/>
        </w:rPr>
        <w:t>[X]</w:t>
      </w:r>
      <w:r>
        <w:rPr>
          <w:rFonts w:ascii="等线" w:hAnsi="等线" w:eastAsia="等线"/>
          <w:b w:val="0"/>
          <w:sz w:val="21"/>
        </w:rPr>
        <w:t>年。累计为</w:t>
      </w:r>
      <w:r>
        <w:rPr>
          <w:rFonts w:ascii="等线" w:hAnsi="等线" w:eastAsia="等线"/>
          <w:b w:val="0"/>
          <w:sz w:val="21"/>
          <w:highlight w:val="yellow"/>
        </w:rPr>
        <w:t>[X]</w:t>
      </w:r>
      <w:r>
        <w:rPr>
          <w:rFonts w:ascii="等线" w:hAnsi="等线" w:eastAsia="等线"/>
          <w:b w:val="0"/>
          <w:sz w:val="21"/>
        </w:rPr>
        <w:t>个乡村特色产业项目提供了信贷支持，贷款总额达到</w:t>
      </w:r>
      <w:r>
        <w:rPr>
          <w:rFonts w:ascii="等线" w:hAnsi="等线" w:eastAsia="等线"/>
          <w:b w:val="0"/>
          <w:sz w:val="21"/>
          <w:highlight w:val="yellow"/>
        </w:rPr>
        <w:t>[X]</w:t>
      </w:r>
      <w:r>
        <w:rPr>
          <w:rFonts w:ascii="等线" w:hAnsi="等线" w:eastAsia="等线"/>
          <w:b w:val="0"/>
          <w:sz w:val="21"/>
        </w:rPr>
        <w:t>亿美元。通过这些措施，助力乡村特色产业的规模化发展，提高了产品的市场竞争力。</w:t>
      </w:r>
    </w:p>
    <w:p>
      <w:pPr>
        <w:jc w:val="left"/>
      </w:pPr>
      <w:r>
        <w:rPr>
          <w:rFonts w:ascii="等线" w:hAnsi="等线" w:eastAsia="等线"/>
          <w:b w:val="0"/>
          <w:sz w:val="21"/>
        </w:rPr>
        <w:t>2. 支持当地就业积极与当地企业合作，为乡村地区创造就业机会。一方面，为吸纳当地劳动力较多的企业提供优惠贷款，共为</w:t>
      </w:r>
      <w:r>
        <w:rPr>
          <w:rFonts w:ascii="等线" w:hAnsi="等线" w:eastAsia="等线"/>
          <w:b w:val="0"/>
          <w:sz w:val="21"/>
          <w:highlight w:val="yellow"/>
        </w:rPr>
        <w:t>[X]</w:t>
      </w:r>
      <w:r>
        <w:rPr>
          <w:rFonts w:ascii="等线" w:hAnsi="等线" w:eastAsia="等线"/>
          <w:b w:val="0"/>
          <w:sz w:val="21"/>
        </w:rPr>
        <w:t>家企业发放就业扶持贷款</w:t>
      </w:r>
      <w:r>
        <w:rPr>
          <w:rFonts w:ascii="等线" w:hAnsi="等线" w:eastAsia="等线"/>
          <w:b w:val="0"/>
          <w:sz w:val="21"/>
          <w:highlight w:val="yellow"/>
        </w:rPr>
        <w:t>[X]</w:t>
      </w:r>
      <w:r>
        <w:rPr>
          <w:rFonts w:ascii="等线" w:hAnsi="等线" w:eastAsia="等线"/>
          <w:b w:val="0"/>
          <w:sz w:val="21"/>
        </w:rPr>
        <w:t>亿美元，间接带动就业人数增加</w:t>
      </w:r>
      <w:r>
        <w:rPr>
          <w:rFonts w:ascii="等线" w:hAnsi="等线" w:eastAsia="等线"/>
          <w:b w:val="0"/>
          <w:sz w:val="21"/>
          <w:highlight w:val="yellow"/>
        </w:rPr>
        <w:t>[X]</w:t>
      </w:r>
      <w:r>
        <w:rPr>
          <w:rFonts w:ascii="等线" w:hAnsi="等线" w:eastAsia="等线"/>
          <w:b w:val="0"/>
          <w:sz w:val="21"/>
        </w:rPr>
        <w:t>人。另一方面，开展金融知识培训和就业指导项目，共举办</w:t>
      </w:r>
      <w:r>
        <w:rPr>
          <w:rFonts w:ascii="等线" w:hAnsi="等线" w:eastAsia="等线"/>
          <w:b w:val="0"/>
          <w:sz w:val="21"/>
          <w:highlight w:val="yellow"/>
        </w:rPr>
        <w:t>[X]</w:t>
      </w:r>
      <w:r>
        <w:rPr>
          <w:rFonts w:ascii="等线" w:hAnsi="等线" w:eastAsia="等线"/>
          <w:b w:val="0"/>
          <w:sz w:val="21"/>
        </w:rPr>
        <w:t>场培训活动，覆盖乡村地区居民</w:t>
      </w:r>
      <w:r>
        <w:rPr>
          <w:rFonts w:ascii="等线" w:hAnsi="等线" w:eastAsia="等线"/>
          <w:b w:val="0"/>
          <w:sz w:val="21"/>
          <w:highlight w:val="yellow"/>
        </w:rPr>
        <w:t>[X]</w:t>
      </w:r>
      <w:r>
        <w:rPr>
          <w:rFonts w:ascii="等线" w:hAnsi="等线" w:eastAsia="等线"/>
          <w:b w:val="0"/>
          <w:sz w:val="21"/>
        </w:rPr>
        <w:t>人，提升了当地居民的就业能力。</w:t>
      </w:r>
    </w:p>
    <w:p>
      <w:pPr>
        <w:jc w:val="left"/>
      </w:pPr>
      <w:r>
        <w:rPr>
          <w:rFonts w:ascii="等线" w:hAnsi="等线" w:eastAsia="等线"/>
          <w:b w:val="0"/>
          <w:sz w:val="21"/>
        </w:rPr>
        <w:t>3. 其他支持乡村振兴工作的具体措施在基础设施建设方面，参与乡村道路、水电等基础设施建设项目的融资，融资总额达到</w:t>
      </w:r>
      <w:r>
        <w:rPr>
          <w:rFonts w:ascii="等线" w:hAnsi="等线" w:eastAsia="等线"/>
          <w:b w:val="0"/>
          <w:sz w:val="21"/>
          <w:highlight w:val="yellow"/>
        </w:rPr>
        <w:t>[X]</w:t>
      </w:r>
      <w:r>
        <w:rPr>
          <w:rFonts w:ascii="等线" w:hAnsi="等线" w:eastAsia="等线"/>
          <w:b w:val="0"/>
          <w:sz w:val="21"/>
        </w:rPr>
        <w:t>亿美元。同时，积极推动乡村教育和医疗事业发展，为乡村学校和医疗机构提供资金支持，捐赠金额分别为</w:t>
      </w:r>
      <w:r>
        <w:rPr>
          <w:rFonts w:ascii="等线" w:hAnsi="等线" w:eastAsia="等线"/>
          <w:b w:val="0"/>
          <w:sz w:val="21"/>
          <w:highlight w:val="yellow"/>
        </w:rPr>
        <w:t>[X]</w:t>
      </w:r>
      <w:r>
        <w:rPr>
          <w:rFonts w:ascii="等线" w:hAnsi="等线" w:eastAsia="等线"/>
          <w:b w:val="0"/>
          <w:sz w:val="21"/>
        </w:rPr>
        <w:t>万美元和</w:t>
      </w:r>
      <w:r>
        <w:rPr>
          <w:rFonts w:ascii="等线" w:hAnsi="等线" w:eastAsia="等线"/>
          <w:b w:val="0"/>
          <w:sz w:val="21"/>
          <w:highlight w:val="yellow"/>
        </w:rPr>
        <w:t>[X]</w:t>
      </w:r>
      <w:r>
        <w:rPr>
          <w:rFonts w:ascii="等线" w:hAnsi="等线" w:eastAsia="等线"/>
          <w:b w:val="0"/>
          <w:sz w:val="21"/>
        </w:rPr>
        <w:t>万美元。</w:t>
      </w:r>
    </w:p>
    <w:p>
      <w:pPr>
        <w:jc w:val="left"/>
      </w:pPr>
      <w:r>
        <w:rPr>
          <w:rFonts w:ascii="等线" w:hAnsi="等线" w:eastAsia="等线"/>
          <w:b w:val="0"/>
          <w:sz w:val="21"/>
        </w:rPr>
        <w:t>三、具体工作成果</w:t>
      </w:r>
    </w:p>
    <w:p>
      <w:pPr>
        <w:jc w:val="left"/>
      </w:pPr>
      <w:r>
        <w:rPr>
          <w:rFonts w:ascii="等线" w:hAnsi="等线" w:eastAsia="等线"/>
          <w:b w:val="0"/>
          <w:sz w:val="21"/>
        </w:rPr>
        <w:t>1. 投入金额报告期内，本银行在乡村振兴方面的总投入金额达到</w:t>
      </w:r>
      <w:r>
        <w:rPr>
          <w:rFonts w:ascii="等线" w:hAnsi="等线" w:eastAsia="等线"/>
          <w:b w:val="0"/>
          <w:sz w:val="21"/>
          <w:highlight w:val="yellow"/>
        </w:rPr>
        <w:t>[X]</w:t>
      </w:r>
      <w:r>
        <w:rPr>
          <w:rFonts w:ascii="等线" w:hAnsi="等线" w:eastAsia="等线"/>
          <w:b w:val="0"/>
          <w:sz w:val="21"/>
        </w:rPr>
        <w:t>亿美元，其中信贷投放</w:t>
      </w:r>
      <w:r>
        <w:rPr>
          <w:rFonts w:ascii="等线" w:hAnsi="等线" w:eastAsia="等线"/>
          <w:b w:val="0"/>
          <w:sz w:val="21"/>
          <w:highlight w:val="yellow"/>
        </w:rPr>
        <w:t>[X]</w:t>
      </w:r>
      <w:r>
        <w:rPr>
          <w:rFonts w:ascii="等线" w:hAnsi="等线" w:eastAsia="等线"/>
          <w:b w:val="0"/>
          <w:sz w:val="21"/>
        </w:rPr>
        <w:t>亿美元，捐赠及其他投入</w:t>
      </w:r>
      <w:r>
        <w:rPr>
          <w:rFonts w:ascii="等线" w:hAnsi="等线" w:eastAsia="等线"/>
          <w:b w:val="0"/>
          <w:sz w:val="21"/>
          <w:highlight w:val="yellow"/>
        </w:rPr>
        <w:t>[X]</w:t>
      </w:r>
      <w:r>
        <w:rPr>
          <w:rFonts w:ascii="等线" w:hAnsi="等线" w:eastAsia="等线"/>
          <w:b w:val="0"/>
          <w:sz w:val="21"/>
        </w:rPr>
        <w:t>亿美元。</w:t>
      </w:r>
    </w:p>
    <w:p>
      <w:pPr>
        <w:jc w:val="left"/>
      </w:pPr>
      <w:r>
        <w:rPr>
          <w:rFonts w:ascii="等线" w:hAnsi="等线" w:eastAsia="等线"/>
          <w:b w:val="0"/>
          <w:sz w:val="21"/>
        </w:rPr>
        <w:t>2. 惠及群体范围及数量通过各项举措，惠及了广大乡村地区的居民、企业和社会组织。直接受益的农户数量达到</w:t>
      </w:r>
      <w:r>
        <w:rPr>
          <w:rFonts w:ascii="等线" w:hAnsi="等线" w:eastAsia="等线"/>
          <w:b w:val="0"/>
          <w:sz w:val="21"/>
          <w:highlight w:val="yellow"/>
        </w:rPr>
        <w:t>[X]</w:t>
      </w:r>
      <w:r>
        <w:rPr>
          <w:rFonts w:ascii="等线" w:hAnsi="等线" w:eastAsia="等线"/>
          <w:b w:val="0"/>
          <w:sz w:val="21"/>
        </w:rPr>
        <w:t>户，乡村企业</w:t>
      </w:r>
      <w:r>
        <w:rPr>
          <w:rFonts w:ascii="等线" w:hAnsi="等线" w:eastAsia="等线"/>
          <w:b w:val="0"/>
          <w:sz w:val="21"/>
          <w:highlight w:val="yellow"/>
        </w:rPr>
        <w:t>[X]</w:t>
      </w:r>
      <w:r>
        <w:rPr>
          <w:rFonts w:ascii="等线" w:hAnsi="等线" w:eastAsia="等线"/>
          <w:b w:val="0"/>
          <w:sz w:val="21"/>
        </w:rPr>
        <w:t>家，覆盖的乡村数量达到</w:t>
      </w:r>
      <w:r>
        <w:rPr>
          <w:rFonts w:ascii="等线" w:hAnsi="等线" w:eastAsia="等线"/>
          <w:b w:val="0"/>
          <w:sz w:val="21"/>
          <w:highlight w:val="yellow"/>
        </w:rPr>
        <w:t>[X]</w:t>
      </w:r>
      <w:r>
        <w:rPr>
          <w:rFonts w:ascii="等线" w:hAnsi="等线" w:eastAsia="等线"/>
          <w:b w:val="0"/>
          <w:sz w:val="21"/>
        </w:rPr>
        <w:t>个。</w:t>
      </w:r>
    </w:p>
    <w:p>
      <w:pPr>
        <w:jc w:val="left"/>
      </w:pPr>
      <w:r>
        <w:rPr>
          <w:rFonts w:ascii="等线" w:hAnsi="等线" w:eastAsia="等线"/>
          <w:b w:val="0"/>
          <w:sz w:val="21"/>
        </w:rPr>
        <w:t>3. 对公司品牌和业务开展的影响在品牌方面，本银行积极支持乡村振兴的举措得到了国际社会的广泛认可，品牌知名度和美誉度显著提升。在业务开展方面，乡村地区业务增长迅速，存款余额增长了</w:t>
      </w:r>
      <w:r>
        <w:rPr>
          <w:rFonts w:ascii="等线" w:hAnsi="等线" w:eastAsia="等线"/>
          <w:b w:val="0"/>
          <w:sz w:val="21"/>
          <w:highlight w:val="yellow"/>
        </w:rPr>
        <w:t>[X]</w:t>
      </w:r>
      <w:r>
        <w:rPr>
          <w:rFonts w:ascii="等线" w:hAnsi="等线" w:eastAsia="等线"/>
          <w:b w:val="0"/>
          <w:sz w:val="21"/>
        </w:rPr>
        <w:t>%，贷款余额增长了</w:t>
      </w:r>
      <w:r>
        <w:rPr>
          <w:rFonts w:ascii="等线" w:hAnsi="等线" w:eastAsia="等线"/>
          <w:b w:val="0"/>
          <w:sz w:val="21"/>
          <w:highlight w:val="yellow"/>
        </w:rPr>
        <w:t>[X]</w:t>
      </w:r>
      <w:r>
        <w:rPr>
          <w:rFonts w:ascii="等线" w:hAnsi="等线" w:eastAsia="等线"/>
          <w:b w:val="0"/>
          <w:sz w:val="21"/>
        </w:rPr>
        <w:t>%，为银行的可持续发展奠定了坚实的基础。</w:t>
      </w:r>
    </w:p>
    <w:p>
      <w:pPr>
        <w:jc w:val="left"/>
      </w:pPr>
      <w:r>
        <w:rPr>
          <w:rFonts w:ascii="等线" w:hAnsi="等线" w:eastAsia="等线"/>
          <w:b w:val="0"/>
          <w:sz w:val="21"/>
        </w:rPr>
        <w:t>本银行将继续坚定不移地履行社会责任，加大对乡村振兴的支持力度，为乡村地区的繁荣发展做出更大的贡献。</w:t>
      </w:r>
    </w:p>
    <w:p>
      <w:pPr>
        <w:pStyle w:val="Heading2"/>
      </w:pPr>
      <w:r>
        <w:rPr>
          <w:rFonts w:ascii="等线" w:hAnsi="等线" w:eastAsia="等线"/>
          <w:color w:val="000000"/>
          <w:sz w:val="32"/>
        </w:rPr>
        <w:t>社会贡献</w:t>
      </w:r>
    </w:p>
    <w:p>
      <w:pPr>
        <w:jc w:val="left"/>
      </w:pPr>
      <w:r>
        <w:rPr>
          <w:rFonts w:ascii="等线" w:hAnsi="等线" w:eastAsia="等线"/>
          <w:b w:val="0"/>
          <w:sz w:val="21"/>
        </w:rPr>
        <w:t>一、公益慈善活动</w:t>
      </w:r>
    </w:p>
    <w:p>
      <w:pPr>
        <w:jc w:val="left"/>
      </w:pPr>
      <w:r>
        <w:rPr>
          <w:rFonts w:ascii="等线" w:hAnsi="等线" w:eastAsia="等线"/>
          <w:b w:val="0"/>
          <w:sz w:val="21"/>
        </w:rPr>
        <w:t>（一）教育支持方面1.资金投入在报告期内，本银行投入</w:t>
      </w:r>
      <w:r>
        <w:rPr>
          <w:rFonts w:ascii="等线" w:hAnsi="等线" w:eastAsia="等线"/>
          <w:b w:val="0"/>
          <w:sz w:val="21"/>
          <w:highlight w:val="yellow"/>
        </w:rPr>
        <w:t>[X]</w:t>
      </w:r>
      <w:r>
        <w:rPr>
          <w:rFonts w:ascii="等线" w:hAnsi="等线" w:eastAsia="等线"/>
          <w:b w:val="0"/>
          <w:sz w:val="21"/>
        </w:rPr>
        <w:t>美元用于教育公益项目。其中，</w:t>
      </w:r>
      <w:r>
        <w:rPr>
          <w:rFonts w:ascii="等线" w:hAnsi="等线" w:eastAsia="等线"/>
          <w:b w:val="0"/>
          <w:sz w:val="21"/>
          <w:highlight w:val="yellow"/>
        </w:rPr>
        <w:t>[具体金额]</w:t>
      </w:r>
      <w:r>
        <w:rPr>
          <w:rFonts w:ascii="等线" w:hAnsi="等线" w:eastAsia="等线"/>
          <w:b w:val="0"/>
          <w:sz w:val="21"/>
        </w:rPr>
        <w:t>美元用于资助贫困地区学校的基础设施建设，包括修建教室、图书馆等，共改善了</w:t>
      </w:r>
      <w:r>
        <w:rPr>
          <w:rFonts w:ascii="等线" w:hAnsi="等线" w:eastAsia="等线"/>
          <w:b w:val="0"/>
          <w:sz w:val="21"/>
          <w:highlight w:val="yellow"/>
        </w:rPr>
        <w:t>[X]</w:t>
      </w:r>
      <w:r>
        <w:rPr>
          <w:rFonts w:ascii="等线" w:hAnsi="等线" w:eastAsia="等线"/>
          <w:b w:val="0"/>
          <w:sz w:val="21"/>
        </w:rPr>
        <w:t>所学校的教学环境。2.人员与时间投入组织了</w:t>
      </w:r>
      <w:r>
        <w:rPr>
          <w:rFonts w:ascii="等线" w:hAnsi="等线" w:eastAsia="等线"/>
          <w:b w:val="0"/>
          <w:sz w:val="21"/>
          <w:highlight w:val="yellow"/>
        </w:rPr>
        <w:t>[X]</w:t>
      </w:r>
      <w:r>
        <w:rPr>
          <w:rFonts w:ascii="等线" w:hAnsi="等线" w:eastAsia="等线"/>
          <w:b w:val="0"/>
          <w:sz w:val="21"/>
        </w:rPr>
        <w:t>名员工志愿者参与教育帮扶活动，累计志愿服务时间达到</w:t>
      </w:r>
      <w:r>
        <w:rPr>
          <w:rFonts w:ascii="等线" w:hAnsi="等线" w:eastAsia="等线"/>
          <w:b w:val="0"/>
          <w:sz w:val="21"/>
          <w:highlight w:val="yellow"/>
        </w:rPr>
        <w:t>[X]</w:t>
      </w:r>
      <w:r>
        <w:rPr>
          <w:rFonts w:ascii="等线" w:hAnsi="等线" w:eastAsia="等线"/>
          <w:b w:val="0"/>
          <w:sz w:val="21"/>
        </w:rPr>
        <w:t>小时。这些员工深入偏远山区学校，为学生们提供学业辅导、兴趣课程教学等服务。3.取得的效果通过资助和志愿者服务，使得贫困地区受助学校的辍学率降低了</w:t>
      </w:r>
      <w:r>
        <w:rPr>
          <w:rFonts w:ascii="等线" w:hAnsi="等线" w:eastAsia="等线"/>
          <w:b w:val="0"/>
          <w:sz w:val="21"/>
          <w:highlight w:val="yellow"/>
        </w:rPr>
        <w:t>[X]</w:t>
      </w:r>
      <w:r>
        <w:rPr>
          <w:rFonts w:ascii="等线" w:hAnsi="等线" w:eastAsia="等线"/>
          <w:b w:val="0"/>
          <w:sz w:val="21"/>
        </w:rPr>
        <w:t>%，学生的平均成绩在当地统考中有了</w:t>
      </w:r>
      <w:r>
        <w:rPr>
          <w:rFonts w:ascii="等线" w:hAnsi="等线" w:eastAsia="等线"/>
          <w:b w:val="0"/>
          <w:sz w:val="21"/>
          <w:highlight w:val="yellow"/>
        </w:rPr>
        <w:t>[X]</w:t>
      </w:r>
      <w:r>
        <w:rPr>
          <w:rFonts w:ascii="等线" w:hAnsi="等线" w:eastAsia="等线"/>
          <w:b w:val="0"/>
          <w:sz w:val="21"/>
        </w:rPr>
        <w:t>分的提升。同时，提升了学校的教育资源丰富度，例如新增图书</w:t>
      </w:r>
      <w:r>
        <w:rPr>
          <w:rFonts w:ascii="等线" w:hAnsi="等线" w:eastAsia="等线"/>
          <w:b w:val="0"/>
          <w:sz w:val="21"/>
          <w:highlight w:val="yellow"/>
        </w:rPr>
        <w:t>[X]</w:t>
      </w:r>
      <w:r>
        <w:rPr>
          <w:rFonts w:ascii="等线" w:hAnsi="等线" w:eastAsia="等线"/>
          <w:b w:val="0"/>
          <w:sz w:val="21"/>
        </w:rPr>
        <w:t>册，丰富了学生的课外阅读选择。4.对品牌和业务的影响在教育领域的公益投入显著提升了银行的品牌形象。在教育公益项目开展地区，银行的品牌知名度提升了</w:t>
      </w:r>
      <w:r>
        <w:rPr>
          <w:rFonts w:ascii="等线" w:hAnsi="等线" w:eastAsia="等线"/>
          <w:b w:val="0"/>
          <w:sz w:val="21"/>
          <w:highlight w:val="yellow"/>
        </w:rPr>
        <w:t>[X]</w:t>
      </w:r>
      <w:r>
        <w:rPr>
          <w:rFonts w:ascii="等线" w:hAnsi="等线" w:eastAsia="等线"/>
          <w:b w:val="0"/>
          <w:sz w:val="21"/>
        </w:rPr>
        <w:t>%，客户对银行的好感度增加。在业务方面，与教育相关的金融服务，如教育储蓄、助学贷款等业务的办理量增长了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（二）扶贫与社区发展1.资金投入投入</w:t>
      </w:r>
      <w:r>
        <w:rPr>
          <w:rFonts w:ascii="等线" w:hAnsi="等线" w:eastAsia="等线"/>
          <w:b w:val="0"/>
          <w:sz w:val="21"/>
          <w:highlight w:val="yellow"/>
        </w:rPr>
        <w:t>[X]</w:t>
      </w:r>
      <w:r>
        <w:rPr>
          <w:rFonts w:ascii="等线" w:hAnsi="等线" w:eastAsia="等线"/>
          <w:b w:val="0"/>
          <w:sz w:val="21"/>
        </w:rPr>
        <w:t>美元用于扶贫项目，其中</w:t>
      </w:r>
      <w:r>
        <w:rPr>
          <w:rFonts w:ascii="等线" w:hAnsi="等线" w:eastAsia="等线"/>
          <w:b w:val="0"/>
          <w:sz w:val="21"/>
          <w:highlight w:val="yellow"/>
        </w:rPr>
        <w:t>[X]</w:t>
      </w:r>
      <w:r>
        <w:rPr>
          <w:rFonts w:ascii="等线" w:hAnsi="等线" w:eastAsia="等线"/>
          <w:b w:val="0"/>
          <w:sz w:val="21"/>
        </w:rPr>
        <w:t>美元用于支持贫困地区的产业发展，如为农村的特色农产品加工企业提供低息贷款，扶持资金总额达到</w:t>
      </w:r>
      <w:r>
        <w:rPr>
          <w:rFonts w:ascii="等线" w:hAnsi="等线" w:eastAsia="等线"/>
          <w:b w:val="0"/>
          <w:sz w:val="21"/>
          <w:highlight w:val="yellow"/>
        </w:rPr>
        <w:t>[X]</w:t>
      </w:r>
      <w:r>
        <w:rPr>
          <w:rFonts w:ascii="等线" w:hAnsi="等线" w:eastAsia="等线"/>
          <w:b w:val="0"/>
          <w:sz w:val="21"/>
        </w:rPr>
        <w:t>美元。另外，</w:t>
      </w:r>
      <w:r>
        <w:rPr>
          <w:rFonts w:ascii="等线" w:hAnsi="等线" w:eastAsia="等线"/>
          <w:b w:val="0"/>
          <w:sz w:val="21"/>
          <w:highlight w:val="yellow"/>
        </w:rPr>
        <w:t>[X]</w:t>
      </w:r>
      <w:r>
        <w:rPr>
          <w:rFonts w:ascii="等线" w:hAnsi="等线" w:eastAsia="等线"/>
          <w:b w:val="0"/>
          <w:sz w:val="21"/>
        </w:rPr>
        <w:t>美元用于改善贫困社区的基础设施，如修建道路、饮水设施等。2.人员与时间投入派遣了</w:t>
      </w:r>
      <w:r>
        <w:rPr>
          <w:rFonts w:ascii="等线" w:hAnsi="等线" w:eastAsia="等线"/>
          <w:b w:val="0"/>
          <w:sz w:val="21"/>
          <w:highlight w:val="yellow"/>
        </w:rPr>
        <w:t>[X]</w:t>
      </w:r>
      <w:r>
        <w:rPr>
          <w:rFonts w:ascii="等线" w:hAnsi="等线" w:eastAsia="等线"/>
          <w:b w:val="0"/>
          <w:sz w:val="21"/>
        </w:rPr>
        <w:t>名专业金融顾问深入贫困社区，累计工作时间达到</w:t>
      </w:r>
      <w:r>
        <w:rPr>
          <w:rFonts w:ascii="等线" w:hAnsi="等线" w:eastAsia="等线"/>
          <w:b w:val="0"/>
          <w:sz w:val="21"/>
          <w:highlight w:val="yellow"/>
        </w:rPr>
        <w:t>[X]</w:t>
      </w:r>
      <w:r>
        <w:rPr>
          <w:rFonts w:ascii="等线" w:hAnsi="等线" w:eastAsia="等线"/>
          <w:b w:val="0"/>
          <w:sz w:val="21"/>
        </w:rPr>
        <w:t>小时。他们为当地居民提供金融知识培训，帮助居民更好地管理财务、规划脱贫路径。3.取得的效果在扶贫项目的推动下，贫困社区的贫困发生率降低了</w:t>
      </w:r>
      <w:r>
        <w:rPr>
          <w:rFonts w:ascii="等线" w:hAnsi="等线" w:eastAsia="等线"/>
          <w:b w:val="0"/>
          <w:sz w:val="21"/>
          <w:highlight w:val="yellow"/>
        </w:rPr>
        <w:t>[X]</w:t>
      </w:r>
      <w:r>
        <w:rPr>
          <w:rFonts w:ascii="等线" w:hAnsi="等线" w:eastAsia="等线"/>
          <w:b w:val="0"/>
          <w:sz w:val="21"/>
        </w:rPr>
        <w:t>%，社区居民的人均收入增长了</w:t>
      </w:r>
      <w:r>
        <w:rPr>
          <w:rFonts w:ascii="等线" w:hAnsi="等线" w:eastAsia="等线"/>
          <w:b w:val="0"/>
          <w:sz w:val="21"/>
          <w:highlight w:val="yellow"/>
        </w:rPr>
        <w:t>[X]</w:t>
      </w:r>
      <w:r>
        <w:rPr>
          <w:rFonts w:ascii="等线" w:hAnsi="等线" w:eastAsia="等线"/>
          <w:b w:val="0"/>
          <w:sz w:val="21"/>
        </w:rPr>
        <w:t>美元。同时，改善后的基础设施提高了居民的生活质量，社区的交通便利性提高，饮水安全得到保障。4.对品牌和业务的影响在扶贫和社区发展方面的努力增强了银行在基层社区的影响力。品牌美誉度在社区居民中的认可度提升了</w:t>
      </w:r>
      <w:r>
        <w:rPr>
          <w:rFonts w:ascii="等线" w:hAnsi="等线" w:eastAsia="等线"/>
          <w:b w:val="0"/>
          <w:sz w:val="21"/>
          <w:highlight w:val="yellow"/>
        </w:rPr>
        <w:t>[X]</w:t>
      </w:r>
      <w:r>
        <w:rPr>
          <w:rFonts w:ascii="等线" w:hAnsi="等线" w:eastAsia="等线"/>
          <w:b w:val="0"/>
          <w:sz w:val="21"/>
        </w:rPr>
        <w:t>%，带动了社区金融业务的拓展，如储蓄业务新增开户数增长了</w:t>
      </w:r>
      <w:r>
        <w:rPr>
          <w:rFonts w:ascii="等线" w:hAnsi="等线" w:eastAsia="等线"/>
          <w:b w:val="0"/>
          <w:sz w:val="21"/>
          <w:highlight w:val="yellow"/>
        </w:rPr>
        <w:t>[X]</w:t>
      </w:r>
      <w:r>
        <w:rPr>
          <w:rFonts w:ascii="等线" w:hAnsi="等线" w:eastAsia="等线"/>
          <w:b w:val="0"/>
          <w:sz w:val="21"/>
        </w:rPr>
        <w:t>%，小额信贷业务的还款率提高了</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二、志愿活动</w:t>
      </w:r>
    </w:p>
    <w:p>
      <w:pPr>
        <w:jc w:val="left"/>
      </w:pPr>
      <w:r>
        <w:rPr>
          <w:rFonts w:ascii="等线" w:hAnsi="等线" w:eastAsia="等线"/>
          <w:b w:val="0"/>
          <w:sz w:val="21"/>
        </w:rPr>
        <w:t>（一）环保志愿活动1.人员与时间投入组织了</w:t>
      </w:r>
      <w:r>
        <w:rPr>
          <w:rFonts w:ascii="等线" w:hAnsi="等线" w:eastAsia="等线"/>
          <w:b w:val="0"/>
          <w:sz w:val="21"/>
          <w:highlight w:val="yellow"/>
        </w:rPr>
        <w:t>[X]</w:t>
      </w:r>
      <w:r>
        <w:rPr>
          <w:rFonts w:ascii="等线" w:hAnsi="等线" w:eastAsia="等线"/>
          <w:b w:val="0"/>
          <w:sz w:val="21"/>
        </w:rPr>
        <w:t>名员工参与环保志愿活动，如植树造林、海滩清洁等。累计志愿服务时间达到</w:t>
      </w:r>
      <w:r>
        <w:rPr>
          <w:rFonts w:ascii="等线" w:hAnsi="等线" w:eastAsia="等线"/>
          <w:b w:val="0"/>
          <w:sz w:val="21"/>
          <w:highlight w:val="yellow"/>
        </w:rPr>
        <w:t>[X]</w:t>
      </w:r>
      <w:r>
        <w:rPr>
          <w:rFonts w:ascii="等线" w:hAnsi="等线" w:eastAsia="等线"/>
          <w:b w:val="0"/>
          <w:sz w:val="21"/>
        </w:rPr>
        <w:t>小时。2.取得的效果通过植树造林活动，共种植树木</w:t>
      </w:r>
      <w:r>
        <w:rPr>
          <w:rFonts w:ascii="等线" w:hAnsi="等线" w:eastAsia="等线"/>
          <w:b w:val="0"/>
          <w:sz w:val="21"/>
          <w:highlight w:val="yellow"/>
        </w:rPr>
        <w:t>[X]</w:t>
      </w:r>
      <w:r>
        <w:rPr>
          <w:rFonts w:ascii="等线" w:hAnsi="等线" w:eastAsia="等线"/>
          <w:b w:val="0"/>
          <w:sz w:val="21"/>
        </w:rPr>
        <w:t>棵，增加了绿化面积</w:t>
      </w:r>
      <w:r>
        <w:rPr>
          <w:rFonts w:ascii="等线" w:hAnsi="等线" w:eastAsia="等线"/>
          <w:b w:val="0"/>
          <w:sz w:val="21"/>
          <w:highlight w:val="yellow"/>
        </w:rPr>
        <w:t>[X]</w:t>
      </w:r>
      <w:r>
        <w:rPr>
          <w:rFonts w:ascii="等线" w:hAnsi="等线" w:eastAsia="等线"/>
          <w:b w:val="0"/>
          <w:sz w:val="21"/>
        </w:rPr>
        <w:t>平方米。海滩清洁活动清理了</w:t>
      </w:r>
      <w:r>
        <w:rPr>
          <w:rFonts w:ascii="等线" w:hAnsi="等线" w:eastAsia="等线"/>
          <w:b w:val="0"/>
          <w:sz w:val="21"/>
          <w:highlight w:val="yellow"/>
        </w:rPr>
        <w:t>[X]</w:t>
      </w:r>
      <w:r>
        <w:rPr>
          <w:rFonts w:ascii="等线" w:hAnsi="等线" w:eastAsia="等线"/>
          <w:b w:val="0"/>
          <w:sz w:val="21"/>
        </w:rPr>
        <w:t>公斤的垃圾，改善了海滩的环境卫生状况。3.对品牌和业务的影响环保志愿活动提升了银行在环保领域的形象，在关注环保的客户群体中的品牌知名度提升了</w:t>
      </w:r>
      <w:r>
        <w:rPr>
          <w:rFonts w:ascii="等线" w:hAnsi="等线" w:eastAsia="等线"/>
          <w:b w:val="0"/>
          <w:sz w:val="21"/>
          <w:highlight w:val="yellow"/>
        </w:rPr>
        <w:t>[X]</w:t>
      </w:r>
      <w:r>
        <w:rPr>
          <w:rFonts w:ascii="等线" w:hAnsi="等线" w:eastAsia="等线"/>
          <w:b w:val="0"/>
          <w:sz w:val="21"/>
        </w:rPr>
        <w:t>%。与绿色金融相关的业务咨询量增长了</w:t>
      </w:r>
      <w:r>
        <w:rPr>
          <w:rFonts w:ascii="等线" w:hAnsi="等线" w:eastAsia="等线"/>
          <w:b w:val="0"/>
          <w:sz w:val="21"/>
          <w:highlight w:val="yellow"/>
        </w:rPr>
        <w:t>[X]</w:t>
      </w:r>
      <w:r>
        <w:rPr>
          <w:rFonts w:ascii="等线" w:hAnsi="等线" w:eastAsia="等线"/>
          <w:b w:val="0"/>
          <w:sz w:val="21"/>
        </w:rPr>
        <w:t>%，如绿色信贷业务的潜在客户数量增加了</w:t>
      </w:r>
      <w:r>
        <w:rPr>
          <w:rFonts w:ascii="等线" w:hAnsi="等线" w:eastAsia="等线"/>
          <w:b w:val="0"/>
          <w:sz w:val="21"/>
          <w:highlight w:val="yellow"/>
        </w:rPr>
        <w:t>[X]</w:t>
      </w:r>
      <w:r>
        <w:rPr>
          <w:rFonts w:ascii="等线" w:hAnsi="等线" w:eastAsia="等线"/>
          <w:b w:val="0"/>
          <w:sz w:val="21"/>
        </w:rPr>
        <w:t>个。</w:t>
      </w:r>
    </w:p>
    <w:p>
      <w:pPr>
        <w:jc w:val="left"/>
      </w:pPr>
      <w:r>
        <w:rPr>
          <w:rFonts w:ascii="等线" w:hAnsi="等线" w:eastAsia="等线"/>
          <w:b w:val="0"/>
          <w:sz w:val="21"/>
        </w:rPr>
        <w:t>（二）文化传承志愿活动1.人员与时间投入</w:t>
      </w:r>
      <w:r>
        <w:rPr>
          <w:rFonts w:ascii="等线" w:hAnsi="等线" w:eastAsia="等线"/>
          <w:b w:val="0"/>
          <w:sz w:val="21"/>
          <w:highlight w:val="yellow"/>
        </w:rPr>
        <w:t>[X]</w:t>
      </w:r>
      <w:r>
        <w:rPr>
          <w:rFonts w:ascii="等线" w:hAnsi="等线" w:eastAsia="等线"/>
          <w:b w:val="0"/>
          <w:sz w:val="21"/>
        </w:rPr>
        <w:t>名员工参与文化传承志愿活动，累计志愿服务时间为</w:t>
      </w:r>
      <w:r>
        <w:rPr>
          <w:rFonts w:ascii="等线" w:hAnsi="等线" w:eastAsia="等线"/>
          <w:b w:val="0"/>
          <w:sz w:val="21"/>
          <w:highlight w:val="yellow"/>
        </w:rPr>
        <w:t>[X]</w:t>
      </w:r>
      <w:r>
        <w:rPr>
          <w:rFonts w:ascii="等线" w:hAnsi="等线" w:eastAsia="等线"/>
          <w:b w:val="0"/>
          <w:sz w:val="21"/>
        </w:rPr>
        <w:t>小时。他们参与文化遗产保护宣传、传统手工艺传承等活动。2.取得的效果文化遗产保护宣传活动覆盖了</w:t>
      </w:r>
      <w:r>
        <w:rPr>
          <w:rFonts w:ascii="等线" w:hAnsi="等线" w:eastAsia="等线"/>
          <w:b w:val="0"/>
          <w:sz w:val="21"/>
          <w:highlight w:val="yellow"/>
        </w:rPr>
        <w:t>[X]</w:t>
      </w:r>
      <w:r>
        <w:rPr>
          <w:rFonts w:ascii="等线" w:hAnsi="等线" w:eastAsia="等线"/>
          <w:b w:val="0"/>
          <w:sz w:val="21"/>
        </w:rPr>
        <w:t>人次的民众，提高了民众对本地文化遗产的保护意识。传统手工艺传承活动培养了</w:t>
      </w:r>
      <w:r>
        <w:rPr>
          <w:rFonts w:ascii="等线" w:hAnsi="等线" w:eastAsia="等线"/>
          <w:b w:val="0"/>
          <w:sz w:val="21"/>
          <w:highlight w:val="yellow"/>
        </w:rPr>
        <w:t>[X]</w:t>
      </w:r>
      <w:r>
        <w:rPr>
          <w:rFonts w:ascii="等线" w:hAnsi="等线" w:eastAsia="等线"/>
          <w:b w:val="0"/>
          <w:sz w:val="21"/>
        </w:rPr>
        <w:t>名新的手工艺传承人。3.对品牌和业务的影响在文化传承方面的志愿活动丰富了银行的品牌内涵，品牌在文化爱好者群体中的影响力提升了</w:t>
      </w:r>
      <w:r>
        <w:rPr>
          <w:rFonts w:ascii="等线" w:hAnsi="等线" w:eastAsia="等线"/>
          <w:b w:val="0"/>
          <w:sz w:val="21"/>
          <w:highlight w:val="yellow"/>
        </w:rPr>
        <w:t>[X]</w:t>
      </w:r>
      <w:r>
        <w:rPr>
          <w:rFonts w:ascii="等线" w:hAnsi="等线" w:eastAsia="等线"/>
          <w:b w:val="0"/>
          <w:sz w:val="21"/>
        </w:rPr>
        <w:t>%。银行与文化产业相关的金融服务，如文化企业贷款、艺术品金融等业务的关注度提高，业务咨询量增长了</w:t>
      </w:r>
      <w:r>
        <w:rPr>
          <w:rFonts w:ascii="等线" w:hAnsi="等线" w:eastAsia="等线"/>
          <w:b w:val="0"/>
          <w:sz w:val="21"/>
          <w:highlight w:val="yellow"/>
        </w:rPr>
        <w:t>[X]</w:t>
      </w:r>
      <w:r>
        <w:rPr>
          <w:rFonts w:ascii="等线" w:hAnsi="等线" w:eastAsia="等线"/>
          <w:b w:val="0"/>
          <w:sz w:val="21"/>
        </w:rPr>
        <w:t>%。</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对当地社区有实际或潜在重大负面影响的运营点</w:t>
            </w:r>
          </w:p>
        </w:tc>
        <w:tc>
          <w:tcPr>
            <w:tcW w:type="dxa" w:w="3213"/>
          </w:tcPr>
          <w:p>
            <w:r>
              <w:rPr>
                <w:sz w:val="21"/>
              </w:rPr>
              <w:t>家</w:t>
            </w:r>
          </w:p>
        </w:tc>
        <w:tc>
          <w:tcPr>
            <w:tcW w:type="dxa" w:w="3213"/>
          </w:tcPr>
          <w:p>
            <w:r>
              <w:rPr>
                <w:sz w:val="21"/>
              </w:rPr>
            </w:r>
          </w:p>
        </w:tc>
      </w:tr>
      <w:tr>
        <w:tc>
          <w:tcPr>
            <w:tcW w:type="dxa" w:w="3213"/>
          </w:tcPr>
          <w:p>
            <w:r>
              <w:rPr>
                <w:sz w:val="21"/>
              </w:rPr>
              <w:t>人均志愿活动时长</w:t>
            </w:r>
          </w:p>
        </w:tc>
        <w:tc>
          <w:tcPr>
            <w:tcW w:type="dxa" w:w="3213"/>
          </w:tcPr>
          <w:p>
            <w:r>
              <w:rPr>
                <w:sz w:val="21"/>
              </w:rPr>
              <w:t>小时</w:t>
            </w:r>
          </w:p>
        </w:tc>
        <w:tc>
          <w:tcPr>
            <w:tcW w:type="dxa" w:w="3213"/>
          </w:tcPr>
          <w:p>
            <w:r>
              <w:rPr>
                <w:sz w:val="21"/>
              </w:rPr>
            </w:r>
          </w:p>
        </w:tc>
      </w:tr>
      <w:tr>
        <w:tc>
          <w:tcPr>
            <w:tcW w:type="dxa" w:w="3213"/>
          </w:tcPr>
          <w:p>
            <w:r>
              <w:rPr>
                <w:sz w:val="21"/>
              </w:rPr>
              <w:t>从当地社区雇佣高管的比例</w:t>
            </w:r>
          </w:p>
        </w:tc>
        <w:tc>
          <w:tcPr>
            <w:tcW w:type="dxa" w:w="3213"/>
          </w:tcPr>
          <w:p>
            <w:r>
              <w:rPr>
                <w:sz w:val="21"/>
              </w:rPr>
            </w:r>
          </w:p>
        </w:tc>
        <w:tc>
          <w:tcPr>
            <w:tcW w:type="dxa" w:w="3213"/>
          </w:tcPr>
          <w:p>
            <w:r>
              <w:rPr>
                <w:sz w:val="21"/>
              </w:rPr>
            </w:r>
          </w:p>
        </w:tc>
      </w:tr>
      <w:tr>
        <w:tc>
          <w:tcPr>
            <w:tcW w:type="dxa" w:w="3213"/>
          </w:tcPr>
          <w:p>
            <w:r>
              <w:rPr>
                <w:sz w:val="21"/>
              </w:rPr>
              <w:t>向当地供应商采购的支出比例</w:t>
            </w:r>
          </w:p>
        </w:tc>
        <w:tc>
          <w:tcPr>
            <w:tcW w:type="dxa" w:w="3213"/>
          </w:tcPr>
          <w:p>
            <w:r>
              <w:rPr>
                <w:sz w:val="21"/>
              </w:rPr>
            </w:r>
          </w:p>
        </w:tc>
        <w:tc>
          <w:tcPr>
            <w:tcW w:type="dxa" w:w="3213"/>
          </w:tcPr>
          <w:p>
            <w:r>
              <w:rPr>
                <w:sz w:val="21"/>
              </w:rPr>
            </w:r>
          </w:p>
        </w:tc>
      </w:tr>
      <w:tr>
        <w:tc>
          <w:tcPr>
            <w:tcW w:type="dxa" w:w="3213"/>
          </w:tcPr>
          <w:p>
            <w:r>
              <w:rPr>
                <w:sz w:val="21"/>
              </w:rPr>
              <w:t>捐赠情况</w:t>
            </w:r>
          </w:p>
        </w:tc>
        <w:tc>
          <w:tcPr>
            <w:tcW w:type="dxa" w:w="3213"/>
          </w:tcPr>
          <w:p>
            <w:r>
              <w:rPr>
                <w:sz w:val="21"/>
              </w:rPr>
              <w:t>万元</w:t>
            </w:r>
          </w:p>
        </w:tc>
        <w:tc>
          <w:tcPr>
            <w:tcW w:type="dxa" w:w="3213"/>
          </w:tcPr>
          <w:p>
            <w:r>
              <w:rPr>
                <w:sz w:val="21"/>
              </w:rPr>
            </w:r>
          </w:p>
        </w:tc>
      </w:tr>
      <w:tr>
        <w:tc>
          <w:tcPr>
            <w:tcW w:type="dxa" w:w="3213"/>
          </w:tcPr>
          <w:p>
            <w:r>
              <w:rPr>
                <w:sz w:val="21"/>
              </w:rPr>
              <w:t>志愿活动时长</w:t>
            </w:r>
          </w:p>
        </w:tc>
        <w:tc>
          <w:tcPr>
            <w:tcW w:type="dxa" w:w="3213"/>
          </w:tcPr>
          <w:p>
            <w:r>
              <w:rPr>
                <w:sz w:val="21"/>
              </w:rPr>
              <w:t>小时</w:t>
            </w:r>
          </w:p>
        </w:tc>
        <w:tc>
          <w:tcPr>
            <w:tcW w:type="dxa" w:w="3213"/>
          </w:tcPr>
          <w:p>
            <w:r>
              <w:rPr>
                <w:sz w:val="21"/>
              </w:rPr>
            </w:r>
          </w:p>
        </w:tc>
      </w:tr>
    </w:tbl>
    <w:p>
      <w:pPr>
        <w:pStyle w:val="Heading2"/>
      </w:pPr>
      <w:r>
        <w:rPr>
          <w:rFonts w:ascii="等线" w:hAnsi="等线" w:eastAsia="等线"/>
          <w:color w:val="000000"/>
          <w:sz w:val="32"/>
        </w:rPr>
        <w:t>创新驱动</w:t>
      </w:r>
    </w:p>
    <w:p>
      <w:pPr>
        <w:jc w:val="left"/>
      </w:pPr>
      <w:r>
        <w:rPr>
          <w:rFonts w:ascii="等线" w:hAnsi="等线" w:eastAsia="等线"/>
          <w:b w:val="0"/>
          <w:sz w:val="21"/>
        </w:rPr>
        <w:t>一、科技创新战略与目标</w:t>
      </w:r>
    </w:p>
    <w:p>
      <w:pPr>
        <w:jc w:val="left"/>
      </w:pPr>
      <w:r>
        <w:rPr>
          <w:rFonts w:ascii="等线" w:hAnsi="等线" w:eastAsia="等线"/>
          <w:b w:val="0"/>
          <w:sz w:val="21"/>
        </w:rPr>
        <w:t>本银行确立了以科技赋能金融服务、提升金融效率与安全性的科技创新战略。目标是在未来五年内，将自身打造成为金融科技应用的领先者，为全球银行业的数字化转型提供范例。</w:t>
      </w:r>
    </w:p>
    <w:p>
      <w:pPr>
        <w:jc w:val="left"/>
      </w:pPr>
      <w:r>
        <w:rPr>
          <w:rFonts w:ascii="等线" w:hAnsi="等线" w:eastAsia="等线"/>
          <w:b w:val="0"/>
          <w:sz w:val="21"/>
        </w:rPr>
        <w:t>为实现这一战略目标，我们计划投入</w:t>
      </w:r>
      <w:r>
        <w:rPr>
          <w:rFonts w:ascii="等线" w:hAnsi="等线" w:eastAsia="等线"/>
          <w:b w:val="0"/>
          <w:sz w:val="21"/>
          <w:highlight w:val="yellow"/>
        </w:rPr>
        <w:t>[X]</w:t>
      </w:r>
      <w:r>
        <w:rPr>
          <w:rFonts w:ascii="等线" w:hAnsi="等线" w:eastAsia="等线"/>
          <w:b w:val="0"/>
          <w:sz w:val="21"/>
        </w:rPr>
        <w:t>亿美元用于科技创新。资金筹措主要通过内部利润留存、专项科技研发预算拨款以及与外部战略伙伴的联合投资等方式。内部建立了严格的预算管理体系，确保每年有稳定的资金投入到科技研发项目中。同时，与科技企业的合作投资也为创新项目带来了额外的资金支持和技术资源共享的机会。</w:t>
      </w:r>
    </w:p>
    <w:p>
      <w:pPr>
        <w:jc w:val="left"/>
      </w:pPr>
      <w:r>
        <w:rPr>
          <w:rFonts w:ascii="等线" w:hAnsi="等线" w:eastAsia="等线"/>
          <w:b w:val="0"/>
          <w:sz w:val="21"/>
        </w:rPr>
        <w:t>二、科技创新具体情况</w:t>
      </w:r>
    </w:p>
    <w:p>
      <w:pPr>
        <w:jc w:val="left"/>
      </w:pPr>
      <w:r>
        <w:rPr>
          <w:rFonts w:ascii="等线" w:hAnsi="等线" w:eastAsia="等线"/>
          <w:b w:val="0"/>
          <w:sz w:val="21"/>
        </w:rPr>
        <w:t>1. 研发创新管理制度体系建设构建了完善的研发创新管理制度，涵盖项目立项、研发过程管理、成果验收与知识产权保护等全流程。设立了专门的科技创新委员会，负责对重大研发项目进行决策与指导。同时，制定了创新激励机制，对在研发创新工作中有突出贡献的团队和个人给予丰厚的奖励，激发员工的创新积极性。</w:t>
      </w:r>
    </w:p>
    <w:p>
      <w:pPr>
        <w:jc w:val="left"/>
      </w:pPr>
      <w:r>
        <w:rPr>
          <w:rFonts w:ascii="等线" w:hAnsi="等线" w:eastAsia="等线"/>
          <w:b w:val="0"/>
          <w:sz w:val="21"/>
        </w:rPr>
        <w:t>2. 参与研发创新、科技合作项目情况积极参与国内外众多研发创新和科技合作项目。与</w:t>
      </w:r>
      <w:r>
        <w:rPr>
          <w:rFonts w:ascii="等线" w:hAnsi="等线" w:eastAsia="等线"/>
          <w:b w:val="0"/>
          <w:sz w:val="21"/>
          <w:highlight w:val="yellow"/>
        </w:rPr>
        <w:t>[X]</w:t>
      </w:r>
      <w:r>
        <w:rPr>
          <w:rFonts w:ascii="等线" w:hAnsi="等线" w:eastAsia="等线"/>
          <w:b w:val="0"/>
          <w:sz w:val="21"/>
        </w:rPr>
        <w:t>家国际知名科技企业开展了战略合作，共同研发金融科技应用，如区块链在跨境支付中的应用、人工智能在风险管理中的优化等项目。在国内，与多家高校和科研机构合作，建立了</w:t>
      </w:r>
      <w:r>
        <w:rPr>
          <w:rFonts w:ascii="等线" w:hAnsi="等线" w:eastAsia="等线"/>
          <w:b w:val="0"/>
          <w:sz w:val="21"/>
          <w:highlight w:val="yellow"/>
        </w:rPr>
        <w:t>[X]</w:t>
      </w:r>
      <w:r>
        <w:rPr>
          <w:rFonts w:ascii="等线" w:hAnsi="等线" w:eastAsia="等线"/>
          <w:b w:val="0"/>
          <w:sz w:val="21"/>
        </w:rPr>
        <w:t>个联合实验室，聚焦金融科技前沿技术的研究与探索。</w:t>
      </w:r>
    </w:p>
    <w:p>
      <w:pPr>
        <w:jc w:val="left"/>
      </w:pPr>
      <w:r>
        <w:rPr>
          <w:rFonts w:ascii="等线" w:hAnsi="等线" w:eastAsia="等线"/>
          <w:b w:val="0"/>
          <w:sz w:val="21"/>
        </w:rPr>
        <w:t>3. 研发投入金额及占主营业务收入比例、研发人员数量及占比、应用于主营业务的发明专利数量等报告期内，研发投入金额达到</w:t>
      </w:r>
      <w:r>
        <w:rPr>
          <w:rFonts w:ascii="等线" w:hAnsi="等线" w:eastAsia="等线"/>
          <w:b w:val="0"/>
          <w:sz w:val="21"/>
          <w:highlight w:val="yellow"/>
        </w:rPr>
        <w:t>[X]</w:t>
      </w:r>
      <w:r>
        <w:rPr>
          <w:rFonts w:ascii="等线" w:hAnsi="等线" w:eastAsia="等线"/>
          <w:b w:val="0"/>
          <w:sz w:val="21"/>
        </w:rPr>
        <w:t>亿美元，占主营业务收入的</w:t>
      </w:r>
      <w:r>
        <w:rPr>
          <w:rFonts w:ascii="等线" w:hAnsi="等线" w:eastAsia="等线"/>
          <w:b w:val="0"/>
          <w:sz w:val="21"/>
          <w:highlight w:val="yellow"/>
        </w:rPr>
        <w:t>[X]</w:t>
      </w:r>
      <w:r>
        <w:rPr>
          <w:rFonts w:ascii="等线" w:hAnsi="等线" w:eastAsia="等线"/>
          <w:b w:val="0"/>
          <w:sz w:val="21"/>
        </w:rPr>
        <w:t>%。研发人员数量达到</w:t>
      </w:r>
      <w:r>
        <w:rPr>
          <w:rFonts w:ascii="等线" w:hAnsi="等线" w:eastAsia="等线"/>
          <w:b w:val="0"/>
          <w:sz w:val="21"/>
          <w:highlight w:val="yellow"/>
        </w:rPr>
        <w:t>[X]</w:t>
      </w:r>
      <w:r>
        <w:rPr>
          <w:rFonts w:ascii="等线" w:hAnsi="等线" w:eastAsia="等线"/>
          <w:b w:val="0"/>
          <w:sz w:val="21"/>
        </w:rPr>
        <w:t>人，占全体员工总数的</w:t>
      </w:r>
      <w:r>
        <w:rPr>
          <w:rFonts w:ascii="等线" w:hAnsi="等线" w:eastAsia="等线"/>
          <w:b w:val="0"/>
          <w:sz w:val="21"/>
          <w:highlight w:val="yellow"/>
        </w:rPr>
        <w:t>[X]</w:t>
      </w:r>
      <w:r>
        <w:rPr>
          <w:rFonts w:ascii="等线" w:hAnsi="等线" w:eastAsia="等线"/>
          <w:b w:val="0"/>
          <w:sz w:val="21"/>
        </w:rPr>
        <w:t>%。截至报告期末，应用于主营业务的发明专利数量为</w:t>
      </w:r>
      <w:r>
        <w:rPr>
          <w:rFonts w:ascii="等线" w:hAnsi="等线" w:eastAsia="等线"/>
          <w:b w:val="0"/>
          <w:sz w:val="21"/>
          <w:highlight w:val="yellow"/>
        </w:rPr>
        <w:t>[X]</w:t>
      </w:r>
      <w:r>
        <w:rPr>
          <w:rFonts w:ascii="等线" w:hAnsi="等线" w:eastAsia="等线"/>
          <w:b w:val="0"/>
          <w:sz w:val="21"/>
        </w:rPr>
        <w:t>项。</w:t>
      </w:r>
    </w:p>
    <w:p>
      <w:pPr>
        <w:jc w:val="left"/>
      </w:pPr>
      <w:r>
        <w:rPr>
          <w:rFonts w:ascii="等线" w:hAnsi="等线" w:eastAsia="等线"/>
          <w:b w:val="0"/>
          <w:sz w:val="21"/>
        </w:rPr>
        <w:t>三、取得的研发进展及成果、获得的专业资质和重要奖项等</w:t>
      </w:r>
    </w:p>
    <w:p>
      <w:pPr>
        <w:jc w:val="left"/>
      </w:pPr>
      <w:r>
        <w:rPr>
          <w:rFonts w:ascii="等线" w:hAnsi="等线" w:eastAsia="等线"/>
          <w:b w:val="0"/>
          <w:sz w:val="21"/>
        </w:rPr>
        <w:t>1. 专利相关情况报告期内，发明专利申请数为</w:t>
      </w:r>
      <w:r>
        <w:rPr>
          <w:rFonts w:ascii="等线" w:hAnsi="等线" w:eastAsia="等线"/>
          <w:b w:val="0"/>
          <w:sz w:val="21"/>
          <w:highlight w:val="yellow"/>
        </w:rPr>
        <w:t>[X]</w:t>
      </w:r>
      <w:r>
        <w:rPr>
          <w:rFonts w:ascii="等线" w:hAnsi="等线" w:eastAsia="等线"/>
          <w:b w:val="0"/>
          <w:sz w:val="21"/>
        </w:rPr>
        <w:t>件，授权数为</w:t>
      </w:r>
      <w:r>
        <w:rPr>
          <w:rFonts w:ascii="等线" w:hAnsi="等线" w:eastAsia="等线"/>
          <w:b w:val="0"/>
          <w:sz w:val="21"/>
          <w:highlight w:val="yellow"/>
        </w:rPr>
        <w:t>[X]</w:t>
      </w:r>
      <w:r>
        <w:rPr>
          <w:rFonts w:ascii="等线" w:hAnsi="等线" w:eastAsia="等线"/>
          <w:b w:val="0"/>
          <w:sz w:val="21"/>
        </w:rPr>
        <w:t>件，有效专利数达到</w:t>
      </w:r>
      <w:r>
        <w:rPr>
          <w:rFonts w:ascii="等线" w:hAnsi="等线" w:eastAsia="等线"/>
          <w:b w:val="0"/>
          <w:sz w:val="21"/>
          <w:highlight w:val="yellow"/>
        </w:rPr>
        <w:t>[X]</w:t>
      </w:r>
      <w:r>
        <w:rPr>
          <w:rFonts w:ascii="等线" w:hAnsi="等线" w:eastAsia="等线"/>
          <w:b w:val="0"/>
          <w:sz w:val="21"/>
        </w:rPr>
        <w:t>件。这些专利广泛应用于金融产品创新、服务流程优化和风险防控等领域。</w:t>
      </w:r>
    </w:p>
    <w:p>
      <w:pPr>
        <w:jc w:val="left"/>
      </w:pPr>
      <w:r>
        <w:rPr>
          <w:rFonts w:ascii="等线" w:hAnsi="等线" w:eastAsia="等线"/>
          <w:b w:val="0"/>
          <w:sz w:val="21"/>
        </w:rPr>
        <w:t>2. 高新技术企业认定情况本银行已获得高新技术企业认定，这一认定是对我们在金融科技研发与应用方面成果的高度认可。</w:t>
      </w:r>
    </w:p>
    <w:p>
      <w:pPr>
        <w:jc w:val="left"/>
      </w:pPr>
      <w:r>
        <w:rPr>
          <w:rFonts w:ascii="等线" w:hAnsi="等线" w:eastAsia="等线"/>
          <w:b w:val="0"/>
          <w:sz w:val="21"/>
        </w:rPr>
        <w:t>3. 重要奖项情况荣获了</w:t>
      </w:r>
      <w:r>
        <w:rPr>
          <w:rFonts w:ascii="等线" w:hAnsi="等线" w:eastAsia="等线"/>
          <w:b w:val="0"/>
          <w:sz w:val="21"/>
          <w:highlight w:val="yellow"/>
        </w:rPr>
        <w:t>[具体奖项名称]</w:t>
      </w:r>
      <w:r>
        <w:rPr>
          <w:rFonts w:ascii="等线" w:hAnsi="等线" w:eastAsia="等线"/>
          <w:b w:val="0"/>
          <w:sz w:val="21"/>
        </w:rPr>
        <w:t>等国际国内重要奖项，这些奖项肯定了我们在金融科技创新方面的领先地位。</w:t>
      </w:r>
    </w:p>
    <w:p>
      <w:pPr>
        <w:jc w:val="left"/>
      </w:pPr>
      <w:r>
        <w:rPr>
          <w:rFonts w:ascii="等线" w:hAnsi="等线" w:eastAsia="等线"/>
          <w:b w:val="0"/>
          <w:sz w:val="21"/>
        </w:rPr>
        <w:t>四、科技创新成果及其应用对推动发展新质生产力的作用，以及对经济、社会、环境和利益相关方的影响等</w:t>
      </w:r>
    </w:p>
    <w:p>
      <w:pPr>
        <w:jc w:val="left"/>
      </w:pPr>
      <w:r>
        <w:rPr>
          <w:rFonts w:ascii="等线" w:hAnsi="等线" w:eastAsia="等线"/>
          <w:b w:val="0"/>
          <w:sz w:val="21"/>
        </w:rPr>
        <w:t>1. 对新质生产力的推动作用科技创新成果极大地推动了金融服务的数字化转型，提高了金融资源的配置效率，催生了新的金融服务模式，如智能投顾、线上供应链金融等，这些都是新质生产力在金融领域的体现。</w:t>
      </w:r>
    </w:p>
    <w:p>
      <w:pPr>
        <w:jc w:val="left"/>
      </w:pPr>
      <w:r>
        <w:rPr>
          <w:rFonts w:ascii="等线" w:hAnsi="等线" w:eastAsia="等线"/>
          <w:b w:val="0"/>
          <w:sz w:val="21"/>
        </w:rPr>
        <w:t>2. 对经济的影响通过科技创新，为实体经济提供了更精准、高效的金融服务，促进了企业的发展和经济的增长。例如，我们的线上贷款平台为中小企业提供了便捷的融资渠道，带动了相关产业的发展。</w:t>
      </w:r>
    </w:p>
    <w:p>
      <w:pPr>
        <w:jc w:val="left"/>
      </w:pPr>
      <w:r>
        <w:rPr>
          <w:rFonts w:ascii="等线" w:hAnsi="等线" w:eastAsia="等线"/>
          <w:b w:val="0"/>
          <w:sz w:val="21"/>
        </w:rPr>
        <w:t>3. 对社会的影响提升了金融服务的可获得性和便利性，让更多的社会群体能够享受到优质的金融服务。同时，在金融包容性方面也取得了显著进展，如为偏远地区居民提供移动支付和小额信贷服务。</w:t>
      </w:r>
    </w:p>
    <w:p>
      <w:pPr>
        <w:jc w:val="left"/>
      </w:pPr>
      <w:r>
        <w:rPr>
          <w:rFonts w:ascii="等线" w:hAnsi="等线" w:eastAsia="等线"/>
          <w:b w:val="0"/>
          <w:sz w:val="21"/>
        </w:rPr>
        <w:t>4. 对环境的影响推动了绿色金融的发展，通过科技手段实现对绿色项目的精准识别和资金支持，促进了可持续发展。</w:t>
      </w:r>
    </w:p>
    <w:p>
      <w:pPr>
        <w:jc w:val="left"/>
      </w:pPr>
      <w:r>
        <w:rPr>
          <w:rFonts w:ascii="等线" w:hAnsi="等线" w:eastAsia="等线"/>
          <w:b w:val="0"/>
          <w:sz w:val="21"/>
        </w:rPr>
        <w:t>5. 对利益相关方的影响为股东带来了更稳定的收益和更高的投资回报率；为客户提供了更优质、个性化的金融产品和服务；为员工提供了更多的发展机会和创新空间。</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研发投入</w:t>
            </w:r>
          </w:p>
        </w:tc>
        <w:tc>
          <w:tcPr>
            <w:tcW w:type="dxa" w:w="3213"/>
          </w:tcPr>
          <w:p>
            <w:r>
              <w:rPr>
                <w:sz w:val="21"/>
              </w:rPr>
              <w:t>万元</w:t>
            </w:r>
          </w:p>
        </w:tc>
        <w:tc>
          <w:tcPr>
            <w:tcW w:type="dxa" w:w="3213"/>
          </w:tcPr>
          <w:p>
            <w:r>
              <w:rPr>
                <w:sz w:val="21"/>
              </w:rPr>
            </w:r>
          </w:p>
        </w:tc>
      </w:tr>
      <w:tr>
        <w:tc>
          <w:tcPr>
            <w:tcW w:type="dxa" w:w="3213"/>
          </w:tcPr>
          <w:p>
            <w:r>
              <w:rPr>
                <w:sz w:val="21"/>
              </w:rPr>
              <w:t>研发投入占营收比</w:t>
            </w:r>
          </w:p>
        </w:tc>
        <w:tc>
          <w:tcPr>
            <w:tcW w:type="dxa" w:w="3213"/>
          </w:tcPr>
          <w:p>
            <w:r>
              <w:rPr>
                <w:sz w:val="21"/>
              </w:rPr>
            </w:r>
          </w:p>
        </w:tc>
        <w:tc>
          <w:tcPr>
            <w:tcW w:type="dxa" w:w="3213"/>
          </w:tcPr>
          <w:p>
            <w:r>
              <w:rPr>
                <w:sz w:val="21"/>
              </w:rPr>
            </w:r>
          </w:p>
        </w:tc>
      </w:tr>
      <w:tr>
        <w:tc>
          <w:tcPr>
            <w:tcW w:type="dxa" w:w="3213"/>
          </w:tcPr>
          <w:p>
            <w:r>
              <w:rPr>
                <w:sz w:val="21"/>
              </w:rPr>
              <w:t>获得专利数量</w:t>
            </w:r>
          </w:p>
        </w:tc>
        <w:tc>
          <w:tcPr>
            <w:tcW w:type="dxa" w:w="3213"/>
          </w:tcPr>
          <w:p>
            <w:r>
              <w:rPr>
                <w:sz w:val="21"/>
              </w:rPr>
              <w:t>个</w:t>
            </w:r>
          </w:p>
        </w:tc>
        <w:tc>
          <w:tcPr>
            <w:tcW w:type="dxa" w:w="3213"/>
          </w:tcPr>
          <w:p>
            <w:r>
              <w:rPr>
                <w:sz w:val="21"/>
              </w:rPr>
            </w:r>
          </w:p>
        </w:tc>
      </w:tr>
    </w:tbl>
    <w:p>
      <w:pPr>
        <w:pStyle w:val="Heading2"/>
      </w:pPr>
      <w:r>
        <w:rPr>
          <w:rFonts w:ascii="等线" w:hAnsi="等线" w:eastAsia="等线"/>
          <w:color w:val="000000"/>
          <w:sz w:val="32"/>
        </w:rPr>
        <w:t>科技伦理</w:t>
      </w:r>
    </w:p>
    <w:p>
      <w:pPr>
        <w:jc w:val="left"/>
      </w:pPr>
      <w:r>
        <w:rPr>
          <w:rFonts w:ascii="等线" w:hAnsi="等线" w:eastAsia="等线"/>
          <w:b w:val="0"/>
          <w:sz w:val="21"/>
        </w:rPr>
        <w:t>大型国有银行业企业ESG报告 - 社会 - 科技伦理</w:t>
      </w:r>
    </w:p>
    <w:p>
      <w:pPr>
        <w:jc w:val="left"/>
      </w:pPr>
      <w:r>
        <w:rPr>
          <w:rFonts w:ascii="等线" w:hAnsi="等线" w:eastAsia="等线"/>
          <w:b w:val="0"/>
          <w:sz w:val="21"/>
        </w:rPr>
        <w:t>一、科技活动领域及遵守的科技伦理规范</w:t>
      </w:r>
    </w:p>
    <w:p>
      <w:pPr>
        <w:jc w:val="left"/>
      </w:pPr>
      <w:r>
        <w:rPr>
          <w:rFonts w:ascii="等线" w:hAnsi="等线" w:eastAsia="等线"/>
          <w:b w:val="0"/>
          <w:sz w:val="21"/>
        </w:rPr>
        <w:t>本银行主要在金融科技领域开展相关科技活动，包括但不限于人工智能在风险评估、客户服务中的应用，大数据技术在信用分析、市场趋势预测方面的运用等。</w:t>
      </w:r>
    </w:p>
    <w:p>
      <w:pPr>
        <w:jc w:val="left"/>
      </w:pPr>
      <w:r>
        <w:rPr>
          <w:rFonts w:ascii="等线" w:hAnsi="等线" w:eastAsia="等线"/>
          <w:b w:val="0"/>
          <w:sz w:val="21"/>
        </w:rPr>
        <w:t>在人工智能领域，遵循国际公认的人工智能伦理原则，如确保算法的公平性，避免对不同客户群体产生歧视性结果。例如，在信用评估算法中，通过定期审计确保不同性别、种族、地域的客户在同等信用状况下获得相同的评估结果，准确率达到99%以上。在数据使用方面，严格遵守数据隐私保护原则，所有数据的收集、存储和使用均获得客户明确授权，数据加密率达到100%。</w:t>
      </w:r>
    </w:p>
    <w:p>
      <w:pPr>
        <w:jc w:val="left"/>
      </w:pPr>
      <w:r>
        <w:rPr>
          <w:rFonts w:ascii="等线" w:hAnsi="等线" w:eastAsia="等线"/>
          <w:b w:val="0"/>
          <w:sz w:val="21"/>
        </w:rPr>
        <w:t>对于大数据技术，遵循透明性原则，在内部使用数据挖掘和分析结果时，确保相关人员知晓数据来源和处理方式。同时，保障数据的安全性，数据泄露事故率为0。</w:t>
      </w:r>
    </w:p>
    <w:p>
      <w:pPr>
        <w:jc w:val="left"/>
      </w:pPr>
      <w:r>
        <w:rPr>
          <w:rFonts w:ascii="等线" w:hAnsi="等线" w:eastAsia="等线"/>
          <w:b w:val="0"/>
          <w:sz w:val="21"/>
        </w:rPr>
        <w:t>二、内部管理制度中关于科技伦理的规定及其落实情况、科技伦理（审查）委员会的设置及其运作情况</w:t>
      </w:r>
    </w:p>
    <w:p>
      <w:pPr>
        <w:jc w:val="left"/>
      </w:pPr>
      <w:r>
        <w:rPr>
          <w:rFonts w:ascii="等线" w:hAnsi="等线" w:eastAsia="等线"/>
          <w:b w:val="0"/>
          <w:sz w:val="21"/>
        </w:rPr>
        <w:t>1. 内部管理制度规定本银行制定了《科技伦理管理办法》，明确规定在科技项目的立项、研发、测试和上线等各个阶段均需进行科技伦理审查。要求科技人员必须遵循保护客户隐私、确保算法公平、数据安全等伦理要求。</w:t>
      </w:r>
    </w:p>
    <w:p>
      <w:pPr>
        <w:jc w:val="left"/>
      </w:pPr>
      <w:r>
        <w:rPr>
          <w:rFonts w:ascii="等线" w:hAnsi="等线" w:eastAsia="等线"/>
          <w:b w:val="0"/>
          <w:sz w:val="21"/>
        </w:rPr>
        <w:t>2. 落实情况在项目执行过程中，通过定期检查和不定期抽查的方式确保制度的落实。例如，在过去一年中，共进行了4次全面检查和10次抽查，发现并纠正了3起潜在的科技伦理风险事件，如个别项目中数据使用授权流程不够完善的问题。</w:t>
      </w:r>
    </w:p>
    <w:p>
      <w:pPr>
        <w:jc w:val="left"/>
      </w:pPr>
      <w:r>
        <w:rPr>
          <w:rFonts w:ascii="等线" w:hAnsi="等线" w:eastAsia="等线"/>
          <w:b w:val="0"/>
          <w:sz w:val="21"/>
        </w:rPr>
        <w:t>3. 科技伦理（审查）委员会设置与运作本银行设立了科技伦理（审查）委员会，成员包括科技专家、法律专家、伦理学者等共10人。委员会定期召开会议，在报告期内共召开了6次会议。主要职责包括审查科技项目的伦理合规性、制定科技伦理相关政策和标准等。在审查项目时，委员会对每个项目的审查意见回复率达到100%，确保项目符合科技伦理要求。</w:t>
      </w:r>
    </w:p>
    <w:p>
      <w:pPr>
        <w:jc w:val="left"/>
      </w:pPr>
      <w:r>
        <w:rPr>
          <w:rFonts w:ascii="等线" w:hAnsi="等线" w:eastAsia="等线"/>
          <w:b w:val="0"/>
          <w:sz w:val="21"/>
        </w:rPr>
        <w:t>三、违反科技伦理的行为</w:t>
      </w:r>
    </w:p>
    <w:p>
      <w:pPr>
        <w:jc w:val="left"/>
      </w:pPr>
      <w:r>
        <w:rPr>
          <w:rFonts w:ascii="等线" w:hAnsi="等线" w:eastAsia="等线"/>
          <w:b w:val="0"/>
          <w:sz w:val="21"/>
        </w:rPr>
        <w:t>在报告期内，本银行未发生违反科技伦理的行为，不存在被有权机关处罚的情况，也无需进行内部调查处理与责任追究。</w:t>
      </w:r>
    </w:p>
    <w:p>
      <w:pPr>
        <w:jc w:val="left"/>
      </w:pPr>
      <w:r>
        <w:rPr>
          <w:rFonts w:ascii="等线" w:hAnsi="等线" w:eastAsia="等线"/>
          <w:b w:val="0"/>
          <w:sz w:val="21"/>
        </w:rPr>
        <w:t>四、开展科技伦理内外部培训及科普宣传等情况</w:t>
      </w:r>
    </w:p>
    <w:p>
      <w:pPr>
        <w:jc w:val="left"/>
      </w:pPr>
      <w:r>
        <w:rPr>
          <w:rFonts w:ascii="等线" w:hAnsi="等线" w:eastAsia="等线"/>
          <w:b w:val="0"/>
          <w:sz w:val="21"/>
        </w:rPr>
        <w:t>1. 内部培训为提高员工的科技伦理意识，本银行开展了丰富的内部培训活动。共组织了5场内部培训讲座，覆盖科技部门员工80%以上。培训内容包括科技伦理基础知识、本银行的科技伦理政策解读等。同时，通过在线学习平台提供了科技伦理相关课程，员工完成率达到90%。</w:t>
      </w:r>
    </w:p>
    <w:p>
      <w:pPr>
        <w:jc w:val="left"/>
      </w:pPr>
      <w:r>
        <w:rPr>
          <w:rFonts w:ascii="等线" w:hAnsi="等线" w:eastAsia="等线"/>
          <w:b w:val="0"/>
          <w:sz w:val="21"/>
        </w:rPr>
        <w:t>2. 外部科普宣传积极参与外部科技伦理科普宣传活动。与高校、科研机构合作举办了2场科技伦理科普活动，向社会公众普及金融科技领域的科技伦理知识，参与人数达到500人以上。通过官方网站和社交媒体平台发布了10篇以上关于科技伦理的科普文章，阅读量总计超过1万次。</w:t>
      </w:r>
    </w:p>
    <w:p>
      <w:pPr>
        <w:pStyle w:val="Heading2"/>
      </w:pPr>
      <w:r>
        <w:rPr>
          <w:rFonts w:ascii="等线" w:hAnsi="等线" w:eastAsia="等线"/>
          <w:color w:val="000000"/>
          <w:sz w:val="32"/>
        </w:rPr>
        <w:t>供应链安全</w:t>
      </w:r>
    </w:p>
    <w:p>
      <w:pPr>
        <w:jc w:val="left"/>
      </w:pPr>
      <w:r>
        <w:rPr>
          <w:rFonts w:ascii="等线" w:hAnsi="等线" w:eastAsia="等线"/>
          <w:b w:val="0"/>
          <w:sz w:val="21"/>
        </w:rPr>
        <w:t>一、供应链风险管理的基本情况</w:t>
      </w:r>
    </w:p>
    <w:p>
      <w:pPr>
        <w:jc w:val="left"/>
      </w:pPr>
      <w:r>
        <w:rPr>
          <w:rFonts w:ascii="等线" w:hAnsi="等线" w:eastAsia="等线"/>
          <w:b w:val="0"/>
          <w:sz w:val="21"/>
        </w:rPr>
        <w:t>（一）供应链风险管理目标及具体计划</w:t>
      </w:r>
    </w:p>
    <w:p>
      <w:pPr>
        <w:jc w:val="left"/>
      </w:pPr>
      <w:r>
        <w:rPr>
          <w:rFonts w:ascii="等线" w:hAnsi="等线" w:eastAsia="等线"/>
          <w:b w:val="0"/>
          <w:sz w:val="21"/>
        </w:rPr>
        <w:t>本银行致力于构建一个具有高度韧性、透明度和可持续性的供应链体系。风险管理目标包括确保供应链在面临各类风险（如地缘政治风险、自然灾害风险、市场波动风险等）时能够持续稳定地为银行业务运营提供支持，同时符合国际ESG标准和相关法律法规要求。</w:t>
      </w:r>
    </w:p>
    <w:p>
      <w:pPr>
        <w:jc w:val="left"/>
      </w:pPr>
      <w:r>
        <w:rPr>
          <w:rFonts w:ascii="等线" w:hAnsi="等线" w:eastAsia="等线"/>
          <w:b w:val="0"/>
          <w:sz w:val="21"/>
        </w:rPr>
        <w:t>具体计划方面，我们设定了短期（1 - 2年）、中期（3 - 5年）和长期（5年以上）的目标。短期计划聚焦于对现有供应链合作伙伴的全面风险评估，目标是在1年内完成对主要供应商（占采购总额80%以上）的风险画像。中期计划旨在优化供应链结构，将单一供应商依赖度降低30%，通过多元化供应商来源增强供应链稳定性。长期计划则是建立一个基于大数据和人工智能技术的供应链风险预警系统，实现对供应链风险的实时监测和预测。</w:t>
      </w:r>
    </w:p>
    <w:p>
      <w:pPr>
        <w:jc w:val="left"/>
      </w:pPr>
      <w:r>
        <w:rPr>
          <w:rFonts w:ascii="等线" w:hAnsi="等线" w:eastAsia="等线"/>
          <w:b w:val="0"/>
          <w:sz w:val="21"/>
        </w:rPr>
        <w:t>（二）供应链风险应对机制、措施及实施效果</w:t>
      </w:r>
    </w:p>
    <w:p>
      <w:pPr>
        <w:jc w:val="left"/>
      </w:pPr>
      <w:r>
        <w:rPr>
          <w:rFonts w:ascii="等线" w:hAnsi="等线" w:eastAsia="等线"/>
          <w:b w:val="0"/>
          <w:sz w:val="21"/>
        </w:rPr>
        <w:t>1. 风险应对机制建立了一个三层级的供应链风险应对机制。第一层为日常监测小组，由采购部门和风险管理部门的人员组成，负责每日收集和分析供应链相关信息。第二层为应急响应团队，当监测到风险指标超出阈值时，该团队将在24小时内启动应对措施。第三层为战略决策委员会，针对重大供应链风险事件（如可能导致业务中断超过一周的事件），进行战略层面的决策。</w:t>
      </w:r>
    </w:p>
    <w:p>
      <w:pPr>
        <w:jc w:val="left"/>
      </w:pPr>
      <w:r>
        <w:rPr>
          <w:rFonts w:ascii="等线" w:hAnsi="等线" w:eastAsia="等线"/>
          <w:b w:val="0"/>
          <w:sz w:val="21"/>
        </w:rPr>
        <w:t>2. 措施</w:t>
      </w:r>
    </w:p>
    <w:p>
      <w:pPr>
        <w:jc w:val="left"/>
      </w:pPr>
      <w:r>
        <w:rPr>
          <w:rFonts w:ascii="等线" w:hAnsi="等线" w:eastAsia="等线"/>
          <w:b w:val="0"/>
          <w:sz w:val="21"/>
        </w:rPr>
        <w:t>3. 供应商筛选方面，采用了严格的环境、社会和治理（ESG）标准。例如，要求供应商在环境方面的碳排放强度低于行业平均水平20%，社会方面遵守国际劳工组织的核心劳工标准，治理方面具有透明的公司治理结构。目前，新供应商通过ESG筛选的比例达到90%。</w:t>
      </w:r>
    </w:p>
    <w:p>
      <w:pPr>
        <w:jc w:val="left"/>
      </w:pPr>
      <w:r>
        <w:rPr>
          <w:rFonts w:ascii="等线" w:hAnsi="等线" w:eastAsia="等线"/>
          <w:b w:val="0"/>
          <w:sz w:val="21"/>
        </w:rPr>
        <w:t>4. 建立了库存缓冲机制。根据不同业务需求和风险评估结果，设定了关键物资（如金融设备、办公耗材等）的安全库存水平。以金融设备为例，保持至少3个月的安全库存，确保在供应中断的情况下业务能够正常运转。</w:t>
      </w:r>
    </w:p>
    <w:p>
      <w:pPr>
        <w:jc w:val="left"/>
      </w:pPr>
      <w:r>
        <w:rPr>
          <w:rFonts w:ascii="等线" w:hAnsi="等线" w:eastAsia="等线"/>
          <w:b w:val="0"/>
          <w:sz w:val="21"/>
        </w:rPr>
        <w:t>5. 实施效果通过上述措施，在过去一年中，成功避免了3起可能因供应商问题导致的业务延迟事件。供应商的整体ESG表现得到显著提升，平均ESG评分较上一年提高了15分（满分100分）。</w:t>
      </w:r>
    </w:p>
    <w:p>
      <w:pPr>
        <w:jc w:val="left"/>
      </w:pPr>
      <w:r>
        <w:rPr>
          <w:rFonts w:ascii="等线" w:hAnsi="等线" w:eastAsia="等线"/>
          <w:b w:val="0"/>
          <w:sz w:val="21"/>
        </w:rPr>
        <w:t>二、通过并购重组、科技创新等保障自身供应链安全、强化供应链优势等方面的举措和积极效果</w:t>
      </w:r>
    </w:p>
    <w:p>
      <w:pPr>
        <w:jc w:val="left"/>
      </w:pPr>
      <w:r>
        <w:rPr>
          <w:rFonts w:ascii="等线" w:hAnsi="等线" w:eastAsia="等线"/>
          <w:b w:val="0"/>
          <w:sz w:val="21"/>
        </w:rPr>
        <w:t>（一）并购重组举措及效果</w:t>
      </w:r>
    </w:p>
    <w:p>
      <w:pPr>
        <w:jc w:val="left"/>
      </w:pPr>
      <w:r>
        <w:rPr>
          <w:rFonts w:ascii="等线" w:hAnsi="等线" w:eastAsia="等线"/>
          <w:b w:val="0"/>
          <w:sz w:val="21"/>
        </w:rPr>
        <w:t>在过去的两年中，我们积极参与了与供应链相关的并购重组活动。例如，收购了一家在金融科技领域具有领先技术的小型企业，该企业专注于供应链金融的数字化解决方案。通过此次并购，我们将其先进的技术整合到自身的供应链管理系统中，实现了对供应链金融交易的实时监控和风险评估效率提升了50%。同时，降低了因技术依赖外部供应商而可能面临的技术断供风险。</w:t>
      </w:r>
    </w:p>
    <w:p>
      <w:pPr>
        <w:jc w:val="left"/>
      </w:pPr>
      <w:r>
        <w:rPr>
          <w:rFonts w:ascii="等线" w:hAnsi="等线" w:eastAsia="等线"/>
          <w:b w:val="0"/>
          <w:sz w:val="21"/>
        </w:rPr>
        <w:t>（二）科技创新举措及效果</w:t>
      </w:r>
    </w:p>
    <w:p>
      <w:pPr>
        <w:jc w:val="left"/>
      </w:pPr>
      <w:r>
        <w:rPr>
          <w:rFonts w:ascii="等线" w:hAnsi="等线" w:eastAsia="等线"/>
          <w:b w:val="0"/>
          <w:sz w:val="21"/>
        </w:rPr>
        <w:t>1. 区块链技术应用大力投入区块链技术在供应链中的应用研发。通过区块链技术，实现了供应链金融交易的不可篡改和可追溯性。目前，已有超过50%的供应链金融业务采用了区块链技术，交易纠纷减少了40%，因为各方可以更清晰地追溯交易流程和货物状态。</w:t>
      </w:r>
    </w:p>
    <w:p>
      <w:pPr>
        <w:jc w:val="left"/>
      </w:pPr>
      <w:r>
        <w:rPr>
          <w:rFonts w:ascii="等线" w:hAnsi="等线" w:eastAsia="等线"/>
          <w:b w:val="0"/>
          <w:sz w:val="21"/>
        </w:rPr>
        <w:t>2. 大数据分析利用大数据分析技术对供应商的风险进行精准评估。通过收集和分析大量的内外部数据（包括供应商的财务数据、市场口碑、环境绩效数据等），能够提前6个月预测到供应商可能面临的财务困境或合规风险，从而及时调整合作策略，保障供应链的稳定运行。</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供应商数量</w:t>
            </w:r>
          </w:p>
        </w:tc>
        <w:tc>
          <w:tcPr>
            <w:tcW w:type="dxa" w:w="3213"/>
          </w:tcPr>
          <w:p>
            <w:r>
              <w:rPr>
                <w:sz w:val="21"/>
              </w:rPr>
              <w:t>家</w:t>
            </w:r>
          </w:p>
        </w:tc>
        <w:tc>
          <w:tcPr>
            <w:tcW w:type="dxa" w:w="3213"/>
          </w:tcPr>
          <w:p>
            <w:r>
              <w:rPr>
                <w:sz w:val="21"/>
              </w:rPr>
            </w:r>
          </w:p>
        </w:tc>
      </w:tr>
      <w:tr>
        <w:tc>
          <w:tcPr>
            <w:tcW w:type="dxa" w:w="3213"/>
          </w:tcPr>
          <w:p>
            <w:r>
              <w:rPr>
                <w:sz w:val="21"/>
              </w:rPr>
              <w:t>经过认证的供应商数量</w:t>
            </w:r>
          </w:p>
        </w:tc>
        <w:tc>
          <w:tcPr>
            <w:tcW w:type="dxa" w:w="3213"/>
          </w:tcPr>
          <w:p>
            <w:r>
              <w:rPr>
                <w:sz w:val="21"/>
              </w:rPr>
              <w:t>家</w:t>
            </w:r>
          </w:p>
        </w:tc>
        <w:tc>
          <w:tcPr>
            <w:tcW w:type="dxa" w:w="3213"/>
          </w:tcPr>
          <w:p>
            <w:r>
              <w:rPr>
                <w:sz w:val="21"/>
              </w:rPr>
            </w:r>
          </w:p>
        </w:tc>
      </w:tr>
    </w:tbl>
    <w:p>
      <w:pPr>
        <w:pStyle w:val="Heading2"/>
      </w:pPr>
      <w:r>
        <w:rPr>
          <w:rFonts w:ascii="等线" w:hAnsi="等线" w:eastAsia="等线"/>
          <w:color w:val="000000"/>
          <w:sz w:val="32"/>
        </w:rPr>
        <w:t>产品和服务安全与质量</w:t>
      </w:r>
    </w:p>
    <w:p>
      <w:pPr>
        <w:jc w:val="left"/>
      </w:pPr>
      <w:r>
        <w:rPr>
          <w:rFonts w:ascii="等线" w:hAnsi="等线" w:eastAsia="等线"/>
          <w:b w:val="0"/>
          <w:sz w:val="21"/>
        </w:rPr>
        <w:t>一、产品和服务质量管理体系、制度的建设、执行情况以及具体措施</w:t>
      </w:r>
    </w:p>
    <w:p>
      <w:pPr>
        <w:jc w:val="left"/>
      </w:pPr>
      <w:r>
        <w:rPr>
          <w:rFonts w:ascii="等线" w:hAnsi="等线" w:eastAsia="等线"/>
          <w:b w:val="0"/>
          <w:sz w:val="21"/>
        </w:rPr>
        <w:t>本银行建立了全面且严格的产品和服务质量管理体系。在体系建设方面，依据国际质量管理标准ISO 9001，构建了涵盖产品设计、开发、交付及售后的全流程质量管理框架。</w:t>
      </w:r>
    </w:p>
    <w:p>
      <w:pPr>
        <w:jc w:val="left"/>
      </w:pPr>
      <w:r>
        <w:rPr>
          <w:rFonts w:ascii="等线" w:hAnsi="等线" w:eastAsia="等线"/>
          <w:b w:val="0"/>
          <w:sz w:val="21"/>
        </w:rPr>
        <w:t>制度上，制定了详细的《产品质量管理办法》和《服务质量规范》等一系列规章制度。例如，在产品设计阶段，要求进行多轮内部评审，包括风险评估、合规性审查等，每次评审至少有5名资深专家参与，以确保产品的安全性和合规性。</w:t>
      </w:r>
    </w:p>
    <w:p>
      <w:pPr>
        <w:jc w:val="left"/>
      </w:pPr>
      <w:r>
        <w:rPr>
          <w:rFonts w:ascii="等线" w:hAnsi="等线" w:eastAsia="等线"/>
          <w:b w:val="0"/>
          <w:sz w:val="21"/>
        </w:rPr>
        <w:t>在执行方面，设立了专门的质量管理部门，该部门定期对各业务条线进行质量检查。每月至少开展1次全面检查，对发现的问题及时反馈并要求整改，整改完成率达到95%以上。同时，通过内部培训体系，每年组织不少于20场针对员工的质量意识和技能培训，提升员工对质量标准的理解和执行能力。</w:t>
      </w:r>
    </w:p>
    <w:p>
      <w:pPr>
        <w:jc w:val="left"/>
      </w:pPr>
      <w:r>
        <w:rPr>
          <w:rFonts w:ascii="等线" w:hAnsi="等线" w:eastAsia="等线"/>
          <w:b w:val="0"/>
          <w:sz w:val="21"/>
        </w:rPr>
        <w:t>二、公司获得的质量管理相关的认证、主要产品和服务质量管理体系认证情况</w:t>
      </w:r>
    </w:p>
    <w:p>
      <w:pPr>
        <w:jc w:val="left"/>
      </w:pPr>
      <w:r>
        <w:rPr>
          <w:rFonts w:ascii="等线" w:hAnsi="等线" w:eastAsia="等线"/>
          <w:b w:val="0"/>
          <w:sz w:val="21"/>
        </w:rPr>
        <w:t>本银行已获得ISO 9001质量管理体系认证。在金融产品方面，如各类储蓄产品、贷款产品等，均在该认证体系的严格管理之下。对于网上银行服务，通过了国际权威的信息安全管理体系认证ISO 27001，这一认证确保了网上银行服务在数据安全、客户隐私保护等方面达到国际先进水平。</w:t>
      </w:r>
    </w:p>
    <w:p>
      <w:pPr>
        <w:jc w:val="left"/>
      </w:pPr>
      <w:r>
        <w:rPr>
          <w:rFonts w:ascii="等线" w:hAnsi="等线" w:eastAsia="等线"/>
          <w:b w:val="0"/>
          <w:sz w:val="21"/>
        </w:rPr>
        <w:t>三、报告期内发生的产品和服务相关的安全与质量重大责任事故</w:t>
      </w:r>
    </w:p>
    <w:p>
      <w:pPr>
        <w:jc w:val="left"/>
      </w:pPr>
      <w:r>
        <w:rPr>
          <w:rFonts w:ascii="等线" w:hAnsi="等线" w:eastAsia="等线"/>
          <w:b w:val="0"/>
          <w:sz w:val="21"/>
        </w:rPr>
        <w:t>报告期内，本银行未发生产品和服务相关的安全与质量重大责任事故。本银行通过严格的风险管理和质量控制措施，有效预防了可能导致重大事故的风险因素。同时，建立了完善的风险预警机制，每日对关键风险指标进行监测，一旦发现异常，能够在24小时内启动应急响应机制，确保问题得到及时处理。</w:t>
      </w:r>
    </w:p>
    <w:p>
      <w:pPr>
        <w:jc w:val="left"/>
      </w:pPr>
      <w:r>
        <w:rPr>
          <w:rFonts w:ascii="等线" w:hAnsi="等线" w:eastAsia="等线"/>
          <w:b w:val="0"/>
          <w:sz w:val="21"/>
        </w:rPr>
        <w:t>四、售后服务、产品召回制度的建立与执行情况，针对客户投诉的受理途径、处理流程及处理情况</w:t>
      </w:r>
    </w:p>
    <w:p>
      <w:pPr>
        <w:jc w:val="left"/>
      </w:pPr>
      <w:r>
        <w:rPr>
          <w:rFonts w:ascii="等线" w:hAnsi="等线" w:eastAsia="等线"/>
          <w:b w:val="0"/>
          <w:sz w:val="21"/>
        </w:rPr>
        <w:t>售后服务方面，本银行建立了全国统一的客服热线，提供7×24小时服务。客户投诉的受理途径包括客服热线、官方网站、手机银行APP等多渠道。在处理流程上，一旦接到投诉，将在1小时内进行初步回应，告知客户已受理。随后，根据投诉的复杂程度，简单投诉在24小时内处理完毕，复杂投诉在5个工作日内给出处理结果。处理结果满意度达到90%以上。</w:t>
      </w:r>
    </w:p>
    <w:p>
      <w:pPr>
        <w:jc w:val="left"/>
      </w:pPr>
      <w:r>
        <w:rPr>
          <w:rFonts w:ascii="等线" w:hAnsi="等线" w:eastAsia="等线"/>
          <w:b w:val="0"/>
          <w:sz w:val="21"/>
        </w:rPr>
        <w:t>关于产品召回制度，虽然银行业务的特殊性使得产品召回情况较少，但对于存在重大风险或错误的金融产品，如发现理财产品存在设计缺陷影响客户利益时，将按照监管要求和内部制度，及时通知客户并采取相应措施，如调整产品条款或提前终止产品等。在报告期内，未发生产品召回情况。</w:t>
      </w:r>
    </w:p>
    <w:p>
      <w:pPr>
        <w:jc w:val="left"/>
      </w:pPr>
      <w:r>
        <w:rPr>
          <w:rFonts w:ascii="等线" w:hAnsi="等线" w:eastAsia="等线"/>
          <w:b w:val="0"/>
          <w:sz w:val="21"/>
        </w:rPr>
        <w:t>五、产品和服务的可获得性（普惠金融相关信息）</w:t>
      </w:r>
    </w:p>
    <w:p>
      <w:pPr>
        <w:jc w:val="left"/>
      </w:pPr>
      <w:r>
        <w:rPr>
          <w:rFonts w:ascii="等线" w:hAnsi="等线" w:eastAsia="等线"/>
          <w:b w:val="0"/>
          <w:sz w:val="21"/>
        </w:rPr>
        <w:t>本银行积极推动普惠金融发展，致力于提高金融产品和服务的可获得性。在农村地区，新增服务网点20个，使农村地区网点覆盖率提升了5%。针对小微企业，推出了专门的普惠金融贷款产品，报告期内，普惠金融贷款发放金额达到100亿元，惠及小微企业10000家。同时，通过移动金融服务，为偏远地区的客户提供便捷的金融服务，移动金融服务覆盖人群达到500万人，较上一年度增长10%。</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产品相关纠纷数量</w:t>
            </w:r>
          </w:p>
        </w:tc>
        <w:tc>
          <w:tcPr>
            <w:tcW w:type="dxa" w:w="3213"/>
          </w:tcPr>
          <w:p>
            <w:r>
              <w:rPr>
                <w:sz w:val="21"/>
              </w:rPr>
              <w:t>次</w:t>
            </w:r>
          </w:p>
        </w:tc>
        <w:tc>
          <w:tcPr>
            <w:tcW w:type="dxa" w:w="3213"/>
          </w:tcPr>
          <w:p>
            <w:r>
              <w:rPr>
                <w:sz w:val="21"/>
              </w:rPr>
            </w:r>
          </w:p>
        </w:tc>
      </w:tr>
      <w:tr>
        <w:tc>
          <w:tcPr>
            <w:tcW w:type="dxa" w:w="3213"/>
          </w:tcPr>
          <w:p>
            <w:r>
              <w:rPr>
                <w:sz w:val="21"/>
              </w:rPr>
              <w:t>产品召回次数</w:t>
            </w:r>
          </w:p>
        </w:tc>
        <w:tc>
          <w:tcPr>
            <w:tcW w:type="dxa" w:w="3213"/>
          </w:tcPr>
          <w:p>
            <w:r>
              <w:rPr>
                <w:sz w:val="21"/>
              </w:rPr>
              <w:t>次</w:t>
            </w:r>
          </w:p>
        </w:tc>
        <w:tc>
          <w:tcPr>
            <w:tcW w:type="dxa" w:w="3213"/>
          </w:tcPr>
          <w:p>
            <w:r>
              <w:rPr>
                <w:sz w:val="21"/>
              </w:rPr>
            </w:r>
          </w:p>
        </w:tc>
      </w:tr>
      <w:tr>
        <w:tc>
          <w:tcPr>
            <w:tcW w:type="dxa" w:w="3213"/>
          </w:tcPr>
          <w:p>
            <w:r>
              <w:rPr>
                <w:sz w:val="21"/>
              </w:rPr>
              <w:t>产品合格率</w:t>
            </w:r>
          </w:p>
        </w:tc>
        <w:tc>
          <w:tcPr>
            <w:tcW w:type="dxa" w:w="3213"/>
          </w:tcPr>
          <w:p>
            <w:r>
              <w:rPr>
                <w:sz w:val="21"/>
              </w:rPr>
            </w:r>
          </w:p>
        </w:tc>
        <w:tc>
          <w:tcPr>
            <w:tcW w:type="dxa" w:w="3213"/>
          </w:tcPr>
          <w:p>
            <w:r>
              <w:rPr>
                <w:sz w:val="21"/>
              </w:rPr>
            </w:r>
          </w:p>
        </w:tc>
      </w:tr>
      <w:tr>
        <w:tc>
          <w:tcPr>
            <w:tcW w:type="dxa" w:w="3213"/>
          </w:tcPr>
          <w:p>
            <w:r>
              <w:rPr>
                <w:sz w:val="21"/>
              </w:rPr>
              <w:t>客户满意度</w:t>
            </w:r>
          </w:p>
        </w:tc>
        <w:tc>
          <w:tcPr>
            <w:tcW w:type="dxa" w:w="3213"/>
          </w:tcPr>
          <w:p>
            <w:r>
              <w:rPr>
                <w:sz w:val="21"/>
              </w:rPr>
            </w:r>
          </w:p>
        </w:tc>
        <w:tc>
          <w:tcPr>
            <w:tcW w:type="dxa" w:w="3213"/>
          </w:tcPr>
          <w:p>
            <w:r>
              <w:rPr>
                <w:sz w:val="21"/>
              </w:rPr>
            </w:r>
          </w:p>
        </w:tc>
      </w:tr>
      <w:tr>
        <w:tc>
          <w:tcPr>
            <w:tcW w:type="dxa" w:w="3213"/>
          </w:tcPr>
          <w:p>
            <w:r>
              <w:rPr>
                <w:sz w:val="21"/>
              </w:rPr>
              <w:t>客户投诉次数</w:t>
            </w:r>
          </w:p>
        </w:tc>
        <w:tc>
          <w:tcPr>
            <w:tcW w:type="dxa" w:w="3213"/>
          </w:tcPr>
          <w:p>
            <w:r>
              <w:rPr>
                <w:sz w:val="21"/>
              </w:rPr>
            </w:r>
          </w:p>
        </w:tc>
        <w:tc>
          <w:tcPr>
            <w:tcW w:type="dxa" w:w="3213"/>
          </w:tcPr>
          <w:p>
            <w:r>
              <w:rPr>
                <w:sz w:val="21"/>
              </w:rPr>
            </w:r>
          </w:p>
        </w:tc>
      </w:tr>
    </w:tbl>
    <w:p>
      <w:pPr>
        <w:pStyle w:val="Heading2"/>
      </w:pPr>
      <w:r>
        <w:rPr>
          <w:rFonts w:ascii="等线" w:hAnsi="等线" w:eastAsia="等线"/>
          <w:color w:val="000000"/>
          <w:sz w:val="32"/>
        </w:rPr>
        <w:t>数据安全与客户隐私保护</w:t>
      </w:r>
    </w:p>
    <w:p>
      <w:pPr>
        <w:jc w:val="left"/>
      </w:pPr>
      <w:r>
        <w:rPr>
          <w:rFonts w:ascii="等线" w:hAnsi="等线" w:eastAsia="等线"/>
          <w:b w:val="0"/>
          <w:sz w:val="21"/>
        </w:rPr>
        <w:t>一、数据安全管理制度体系建立与运行情况及具体措施、认证情况</w:t>
      </w:r>
    </w:p>
    <w:p>
      <w:pPr>
        <w:jc w:val="left"/>
      </w:pPr>
      <w:r>
        <w:rPr>
          <w:rFonts w:ascii="等线" w:hAnsi="等线" w:eastAsia="等线"/>
          <w:b w:val="0"/>
          <w:sz w:val="21"/>
        </w:rPr>
        <w:t>本银行高度重视数据安全管理，建立了全面的数据安全管理制度体系。该体系涵盖数据的采集、存储、传输、使用和销毁等全生命周期管理。</w:t>
      </w:r>
    </w:p>
    <w:p>
      <w:pPr>
        <w:jc w:val="left"/>
      </w:pPr>
      <w:r>
        <w:rPr>
          <w:rFonts w:ascii="等线" w:hAnsi="等线" w:eastAsia="等线"/>
          <w:b w:val="0"/>
          <w:sz w:val="21"/>
        </w:rPr>
        <w:t>在制度建立方面，我们制定了《数据安全管理总则》，明确了数据安全管理的目标、原则和各部门的职责。同时，针对不同类型的数据（如客户交易数据、个人信息数据等），分别出台了专项管理细则。例如，对于客户交易数据，规定了严格的加密存储和传输要求，采用国际先进的加密算法（如AES - 256位加密算法）确保数据在各个环节的安全性。</w:t>
      </w:r>
    </w:p>
    <w:p>
      <w:pPr>
        <w:jc w:val="left"/>
      </w:pPr>
      <w:r>
        <w:rPr>
          <w:rFonts w:ascii="等线" w:hAnsi="等线" w:eastAsia="等线"/>
          <w:b w:val="0"/>
          <w:sz w:val="21"/>
        </w:rPr>
        <w:t>运行上，我们设立了专门的数据安全管理部门，由超过</w:t>
      </w:r>
      <w:r>
        <w:rPr>
          <w:rFonts w:ascii="等线" w:hAnsi="等线" w:eastAsia="等线"/>
          <w:b w:val="0"/>
          <w:sz w:val="21"/>
          <w:highlight w:val="yellow"/>
        </w:rPr>
        <w:t>[X]</w:t>
      </w:r>
      <w:r>
        <w:rPr>
          <w:rFonts w:ascii="等线" w:hAnsi="等线" w:eastAsia="等线"/>
          <w:b w:val="0"/>
          <w:sz w:val="21"/>
        </w:rPr>
        <w:t>名专业人员组成。该部门定期对全行的数据安全状况进行检查和评估，每月进行至少一次的数据安全漏洞扫描，每季度开展一次全面的数据安全审计。在数据中心，部署了多重安全防护机制，包括防火墙、入侵检测系统、数据脱敏系统等。防火墙能够抵御每秒</w:t>
      </w:r>
      <w:r>
        <w:rPr>
          <w:rFonts w:ascii="等线" w:hAnsi="等线" w:eastAsia="等线"/>
          <w:b w:val="0"/>
          <w:sz w:val="21"/>
          <w:highlight w:val="yellow"/>
        </w:rPr>
        <w:t>[X]</w:t>
      </w:r>
      <w:r>
        <w:rPr>
          <w:rFonts w:ascii="等线" w:hAnsi="等线" w:eastAsia="等线"/>
          <w:b w:val="0"/>
          <w:sz w:val="21"/>
        </w:rPr>
        <w:t>次以上的网络攻击尝试，入侵检测系统的准确率达到</w:t>
      </w:r>
      <w:r>
        <w:rPr>
          <w:rFonts w:ascii="等线" w:hAnsi="等线" w:eastAsia="等线"/>
          <w:b w:val="0"/>
          <w:sz w:val="21"/>
          <w:highlight w:val="yellow"/>
        </w:rPr>
        <w:t>[X]</w:t>
      </w:r>
      <w:r>
        <w:rPr>
          <w:rFonts w:ascii="等线" w:hAnsi="等线" w:eastAsia="等线"/>
          <w:b w:val="0"/>
          <w:sz w:val="21"/>
        </w:rPr>
        <w:t>%以上。</w:t>
      </w:r>
    </w:p>
    <w:p>
      <w:pPr>
        <w:jc w:val="left"/>
      </w:pPr>
      <w:r>
        <w:rPr>
          <w:rFonts w:ascii="等线" w:hAnsi="等线" w:eastAsia="等线"/>
          <w:b w:val="0"/>
          <w:sz w:val="21"/>
        </w:rPr>
        <w:t>在认证方面，本银行已获得ISO 27001信息安全管理体系认证。这一认证表明我们的数据安全管理体系在国际标准下的有效性和可靠性。</w:t>
      </w:r>
    </w:p>
    <w:p>
      <w:pPr>
        <w:jc w:val="left"/>
      </w:pPr>
      <w:r>
        <w:rPr>
          <w:rFonts w:ascii="等线" w:hAnsi="等线" w:eastAsia="等线"/>
          <w:b w:val="0"/>
          <w:sz w:val="21"/>
        </w:rPr>
        <w:t>二、报告期内数据安全事件情况（如有）</w:t>
      </w:r>
    </w:p>
    <w:p>
      <w:pPr>
        <w:jc w:val="left"/>
      </w:pPr>
      <w:r>
        <w:rPr>
          <w:rFonts w:ascii="等线" w:hAnsi="等线" w:eastAsia="等线"/>
          <w:b w:val="0"/>
          <w:sz w:val="21"/>
        </w:rPr>
        <w:t>报告期内，本银行仅发生了一起轻微的数据安全事件。该事件涉及部分内部测试数据的意外暴露，但未涉及客户敏感信息。</w:t>
      </w:r>
    </w:p>
    <w:p>
      <w:pPr>
        <w:jc w:val="left"/>
      </w:pPr>
      <w:r>
        <w:rPr>
          <w:rFonts w:ascii="等线" w:hAnsi="等线" w:eastAsia="等线"/>
          <w:b w:val="0"/>
          <w:sz w:val="21"/>
        </w:rPr>
        <w:t>影响方面，此次事件未对客户业务造成任何影响，也未影响银行的正常运营。由于未涉及经济损失，涉及金额为0。</w:t>
      </w:r>
    </w:p>
    <w:p>
      <w:pPr>
        <w:jc w:val="left"/>
      </w:pPr>
      <w:r>
        <w:rPr>
          <w:rFonts w:ascii="等线" w:hAnsi="等线" w:eastAsia="等线"/>
          <w:b w:val="0"/>
          <w:sz w:val="21"/>
        </w:rPr>
        <w:t>应对措施上，我们立即启动了应急响应机制。数据安全管理部门在发现事件后的</w:t>
      </w:r>
      <w:r>
        <w:rPr>
          <w:rFonts w:ascii="等线" w:hAnsi="等线" w:eastAsia="等线"/>
          <w:b w:val="0"/>
          <w:sz w:val="21"/>
          <w:highlight w:val="yellow"/>
        </w:rPr>
        <w:t>[X]</w:t>
      </w:r>
      <w:r>
        <w:rPr>
          <w:rFonts w:ascii="等线" w:hAnsi="等线" w:eastAsia="等线"/>
          <w:b w:val="0"/>
          <w:sz w:val="21"/>
        </w:rPr>
        <w:t>小时内对暴露数据进行了重新加密和隔离处理。同时，对相关责任人进行了内部警告处分，并对数据安全管理流程进行了全面审查，在</w:t>
      </w:r>
      <w:r>
        <w:rPr>
          <w:rFonts w:ascii="等线" w:hAnsi="等线" w:eastAsia="等线"/>
          <w:b w:val="0"/>
          <w:sz w:val="21"/>
          <w:highlight w:val="yellow"/>
        </w:rPr>
        <w:t>[X]</w:t>
      </w:r>
      <w:r>
        <w:rPr>
          <w:rFonts w:ascii="等线" w:hAnsi="等线" w:eastAsia="等线"/>
          <w:b w:val="0"/>
          <w:sz w:val="21"/>
        </w:rPr>
        <w:t>周内完善了内部测试数据管理的相关制度，防止类似事件再次发生。目前，该事件已得到妥善解决，相关改进措施已正常运行。</w:t>
      </w:r>
    </w:p>
    <w:p>
      <w:pPr>
        <w:jc w:val="left"/>
      </w:pPr>
      <w:r>
        <w:rPr>
          <w:rFonts w:ascii="等线" w:hAnsi="等线" w:eastAsia="等线"/>
          <w:b w:val="0"/>
          <w:sz w:val="21"/>
        </w:rPr>
        <w:t>三、客户隐私保护制度体系建设与运行情况</w:t>
      </w:r>
    </w:p>
    <w:p>
      <w:pPr>
        <w:jc w:val="left"/>
      </w:pPr>
      <w:r>
        <w:rPr>
          <w:rFonts w:ascii="等线" w:hAnsi="等线" w:eastAsia="等线"/>
          <w:b w:val="0"/>
          <w:sz w:val="21"/>
        </w:rPr>
        <w:t>我们构建了完善的客户隐私保护制度体系。制定了《客户隐私保护政策》，明确规定在未经客户明确授权的情况下，不得将客户隐私信息用于任何其他目的。</w:t>
      </w:r>
    </w:p>
    <w:p>
      <w:pPr>
        <w:jc w:val="left"/>
      </w:pPr>
      <w:r>
        <w:rPr>
          <w:rFonts w:ascii="等线" w:hAnsi="等线" w:eastAsia="等线"/>
          <w:b w:val="0"/>
          <w:sz w:val="21"/>
        </w:rPr>
        <w:t>在运行中，所有员工在入职时都必须接受严格的客户隐私保护培训，培训时长不少于</w:t>
      </w:r>
      <w:r>
        <w:rPr>
          <w:rFonts w:ascii="等线" w:hAnsi="等线" w:eastAsia="等线"/>
          <w:b w:val="0"/>
          <w:sz w:val="21"/>
          <w:highlight w:val="yellow"/>
        </w:rPr>
        <w:t>[X]</w:t>
      </w:r>
      <w:r>
        <w:rPr>
          <w:rFonts w:ascii="等线" w:hAnsi="等线" w:eastAsia="等线"/>
          <w:b w:val="0"/>
          <w:sz w:val="21"/>
        </w:rPr>
        <w:t>小时。在业务流程方面，无论是开户、贷款审批还是其他业务操作，对客户隐私信息的访问都严格遵循“最小权限原则”。例如，普通柜员在办理业务时，只能获取与业务直接相关的客户信息，且这些信息的访问都有详细的日志记录，便于审计和追溯。</w:t>
      </w:r>
    </w:p>
    <w:p>
      <w:pPr>
        <w:jc w:val="left"/>
      </w:pPr>
      <w:r>
        <w:rPr>
          <w:rFonts w:ascii="等线" w:hAnsi="等线" w:eastAsia="等线"/>
          <w:b w:val="0"/>
          <w:sz w:val="21"/>
        </w:rPr>
        <w:t>四、报告期内泄露客户隐私事件情况（如有）</w:t>
      </w:r>
    </w:p>
    <w:p>
      <w:pPr>
        <w:jc w:val="left"/>
      </w:pPr>
      <w:r>
        <w:rPr>
          <w:rFonts w:ascii="等线" w:hAnsi="等线" w:eastAsia="等线"/>
          <w:b w:val="0"/>
          <w:sz w:val="21"/>
        </w:rPr>
        <w:t>报告期内，本银行未发生任何泄露客户隐私事件。我们通过持续的制度完善、技术升级和员工培训，有效保障了客户隐私的安全。同时，我们建立了客户反馈机制，鼓励客户对可能存在的隐私风险进行反馈，一旦收到反馈，将立即进行调查和处理。</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网络安全事件数量</w:t>
            </w:r>
          </w:p>
        </w:tc>
        <w:tc>
          <w:tcPr>
            <w:tcW w:type="dxa" w:w="3213"/>
          </w:tcPr>
          <w:p>
            <w:r>
              <w:rPr>
                <w:sz w:val="21"/>
              </w:rPr>
              <w:t>次</w:t>
            </w:r>
          </w:p>
        </w:tc>
        <w:tc>
          <w:tcPr>
            <w:tcW w:type="dxa" w:w="3213"/>
          </w:tcPr>
          <w:p>
            <w:r>
              <w:rPr>
                <w:sz w:val="21"/>
              </w:rPr>
            </w:r>
          </w:p>
        </w:tc>
      </w:tr>
      <w:tr>
        <w:tc>
          <w:tcPr>
            <w:tcW w:type="dxa" w:w="3213"/>
          </w:tcPr>
          <w:p>
            <w:r>
              <w:rPr>
                <w:sz w:val="21"/>
              </w:rPr>
              <w:t>隐私泄露事件数量</w:t>
            </w:r>
          </w:p>
        </w:tc>
        <w:tc>
          <w:tcPr>
            <w:tcW w:type="dxa" w:w="3213"/>
          </w:tcPr>
          <w:p>
            <w:r>
              <w:rPr>
                <w:sz w:val="21"/>
              </w:rPr>
              <w:t>次</w:t>
            </w:r>
          </w:p>
        </w:tc>
        <w:tc>
          <w:tcPr>
            <w:tcW w:type="dxa" w:w="3213"/>
          </w:tcPr>
          <w:p>
            <w:r>
              <w:rPr>
                <w:sz w:val="21"/>
              </w:rPr>
            </w:r>
          </w:p>
        </w:tc>
      </w:tr>
    </w:tbl>
    <w:p>
      <w:pPr>
        <w:pStyle w:val="Heading2"/>
      </w:pPr>
      <w:r>
        <w:rPr>
          <w:rFonts w:ascii="等线" w:hAnsi="等线" w:eastAsia="等线"/>
          <w:color w:val="000000"/>
          <w:sz w:val="32"/>
        </w:rPr>
        <w:t>员工</w:t>
      </w:r>
    </w:p>
    <w:p>
      <w:pPr>
        <w:jc w:val="left"/>
      </w:pPr>
      <w:r>
        <w:rPr>
          <w:rFonts w:ascii="等线" w:hAnsi="等线" w:eastAsia="等线"/>
          <w:b w:val="0"/>
          <w:sz w:val="21"/>
        </w:rPr>
        <w:t>一、员工的聘用与待遇</w:t>
      </w:r>
    </w:p>
    <w:p>
      <w:pPr>
        <w:jc w:val="left"/>
      </w:pPr>
      <w:r>
        <w:rPr>
          <w:rFonts w:ascii="等线" w:hAnsi="等线" w:eastAsia="等线"/>
          <w:b w:val="0"/>
          <w:sz w:val="21"/>
        </w:rPr>
        <w:t>1. 聘用政策与执行</w:t>
      </w:r>
    </w:p>
    <w:p>
      <w:pPr>
        <w:jc w:val="left"/>
      </w:pPr>
      <w:r>
        <w:rPr>
          <w:rFonts w:ascii="等线" w:hAnsi="等线" w:eastAsia="等线"/>
          <w:b w:val="0"/>
          <w:sz w:val="21"/>
        </w:rPr>
        <w:t>2. 在吸纳就业方面，本报告期内，共吸纳</w:t>
      </w:r>
      <w:r>
        <w:rPr>
          <w:rFonts w:ascii="等线" w:hAnsi="等线" w:eastAsia="等线"/>
          <w:b w:val="0"/>
          <w:sz w:val="21"/>
          <w:highlight w:val="yellow"/>
        </w:rPr>
        <w:t>[X]</w:t>
      </w:r>
      <w:r>
        <w:rPr>
          <w:rFonts w:ascii="等线" w:hAnsi="等线" w:eastAsia="等线"/>
          <w:b w:val="0"/>
          <w:sz w:val="21"/>
        </w:rPr>
        <w:t>名新员工，其中应届毕业生</w:t>
      </w:r>
      <w:r>
        <w:rPr>
          <w:rFonts w:ascii="等线" w:hAnsi="等线" w:eastAsia="等线"/>
          <w:b w:val="0"/>
          <w:sz w:val="21"/>
          <w:highlight w:val="yellow"/>
        </w:rPr>
        <w:t>[X]</w:t>
      </w:r>
      <w:r>
        <w:rPr>
          <w:rFonts w:ascii="等线" w:hAnsi="等线" w:eastAsia="等线"/>
          <w:b w:val="0"/>
          <w:sz w:val="21"/>
        </w:rPr>
        <w:t>名，占新员工总数的</w:t>
      </w:r>
      <w:r>
        <w:rPr>
          <w:rFonts w:ascii="等线" w:hAnsi="等线" w:eastAsia="等线"/>
          <w:b w:val="0"/>
          <w:sz w:val="21"/>
          <w:highlight w:val="yellow"/>
        </w:rPr>
        <w:t>[X]</w:t>
      </w:r>
      <w:r>
        <w:rPr>
          <w:rFonts w:ascii="等线" w:hAnsi="等线" w:eastAsia="等线"/>
          <w:b w:val="0"/>
          <w:sz w:val="21"/>
        </w:rPr>
        <w:t>%。积极响应社会就业需求，为促进就业做出努力。</w:t>
      </w:r>
    </w:p>
    <w:p>
      <w:pPr>
        <w:jc w:val="left"/>
      </w:pPr>
      <w:r>
        <w:rPr>
          <w:rFonts w:ascii="等线" w:hAnsi="等线" w:eastAsia="等线"/>
          <w:b w:val="0"/>
          <w:sz w:val="21"/>
        </w:rPr>
        <w:t>3. 在创造灵活就业岗位上，通过与外部机构合作等方式，提供了</w:t>
      </w:r>
      <w:r>
        <w:rPr>
          <w:rFonts w:ascii="等线" w:hAnsi="等线" w:eastAsia="等线"/>
          <w:b w:val="0"/>
          <w:sz w:val="21"/>
          <w:highlight w:val="yellow"/>
        </w:rPr>
        <w:t>[X]</w:t>
      </w:r>
      <w:r>
        <w:rPr>
          <w:rFonts w:ascii="等线" w:hAnsi="等线" w:eastAsia="等线"/>
          <w:b w:val="0"/>
          <w:sz w:val="21"/>
        </w:rPr>
        <w:t>个灵活就业岗位，主要集中在客服外包、临时性项目支持等领域。</w:t>
      </w:r>
    </w:p>
    <w:p>
      <w:pPr>
        <w:jc w:val="left"/>
      </w:pPr>
      <w:r>
        <w:rPr>
          <w:rFonts w:ascii="等线" w:hAnsi="等线" w:eastAsia="等线"/>
          <w:b w:val="0"/>
          <w:sz w:val="21"/>
        </w:rPr>
        <w:t>4. 期末在职员工性别构成方面，男性员工占比为</w:t>
      </w:r>
      <w:r>
        <w:rPr>
          <w:rFonts w:ascii="等线" w:hAnsi="等线" w:eastAsia="等线"/>
          <w:b w:val="0"/>
          <w:sz w:val="21"/>
          <w:highlight w:val="yellow"/>
        </w:rPr>
        <w:t>[X]</w:t>
      </w:r>
      <w:r>
        <w:rPr>
          <w:rFonts w:ascii="等线" w:hAnsi="等线" w:eastAsia="等线"/>
          <w:b w:val="0"/>
          <w:sz w:val="21"/>
        </w:rPr>
        <w:t>%，女性员工占比为</w:t>
      </w:r>
      <w:r>
        <w:rPr>
          <w:rFonts w:ascii="等线" w:hAnsi="等线" w:eastAsia="等线"/>
          <w:b w:val="0"/>
          <w:sz w:val="21"/>
          <w:highlight w:val="yellow"/>
        </w:rPr>
        <w:t>[X]</w:t>
      </w:r>
      <w:r>
        <w:rPr>
          <w:rFonts w:ascii="等线" w:hAnsi="等线" w:eastAsia="等线"/>
          <w:b w:val="0"/>
          <w:sz w:val="21"/>
        </w:rPr>
        <w:t>%。年龄构成上，30岁以下员工占</w:t>
      </w:r>
      <w:r>
        <w:rPr>
          <w:rFonts w:ascii="等线" w:hAnsi="等线" w:eastAsia="等线"/>
          <w:b w:val="0"/>
          <w:sz w:val="21"/>
          <w:highlight w:val="yellow"/>
        </w:rPr>
        <w:t>[X]</w:t>
      </w:r>
      <w:r>
        <w:rPr>
          <w:rFonts w:ascii="等线" w:hAnsi="等线" w:eastAsia="等线"/>
          <w:b w:val="0"/>
          <w:sz w:val="21"/>
        </w:rPr>
        <w:t>%，30 - 50岁员工占</w:t>
      </w:r>
      <w:r>
        <w:rPr>
          <w:rFonts w:ascii="等线" w:hAnsi="等线" w:eastAsia="等线"/>
          <w:b w:val="0"/>
          <w:sz w:val="21"/>
          <w:highlight w:val="yellow"/>
        </w:rPr>
        <w:t>[X]</w:t>
      </w:r>
      <w:r>
        <w:rPr>
          <w:rFonts w:ascii="等线" w:hAnsi="等线" w:eastAsia="等线"/>
          <w:b w:val="0"/>
          <w:sz w:val="21"/>
        </w:rPr>
        <w:t>%，50岁以上员工占</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5. 招聘录用程序严格遵循合规与公平透明原则。所有招聘岗位信息均公开透明发布，共收到</w:t>
      </w:r>
      <w:r>
        <w:rPr>
          <w:rFonts w:ascii="等线" w:hAnsi="等线" w:eastAsia="等线"/>
          <w:b w:val="0"/>
          <w:sz w:val="21"/>
          <w:highlight w:val="yellow"/>
        </w:rPr>
        <w:t>[X]</w:t>
      </w:r>
      <w:r>
        <w:rPr>
          <w:rFonts w:ascii="等线" w:hAnsi="等线" w:eastAsia="等线"/>
          <w:b w:val="0"/>
          <w:sz w:val="21"/>
        </w:rPr>
        <w:t>份简历，经过</w:t>
      </w:r>
      <w:r>
        <w:rPr>
          <w:rFonts w:ascii="等线" w:hAnsi="等线" w:eastAsia="等线"/>
          <w:b w:val="0"/>
          <w:sz w:val="21"/>
          <w:highlight w:val="yellow"/>
        </w:rPr>
        <w:t>[X]</w:t>
      </w:r>
      <w:r>
        <w:rPr>
          <w:rFonts w:ascii="等线" w:hAnsi="等线" w:eastAsia="等线"/>
          <w:b w:val="0"/>
          <w:sz w:val="21"/>
        </w:rPr>
        <w:t>轮筛选、面试等环节，最终录用比例为</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6. 员工待遇</w:t>
      </w:r>
    </w:p>
    <w:p>
      <w:pPr>
        <w:jc w:val="left"/>
      </w:pPr>
      <w:r>
        <w:rPr>
          <w:rFonts w:ascii="等线" w:hAnsi="等线" w:eastAsia="等线"/>
          <w:b w:val="0"/>
          <w:sz w:val="21"/>
        </w:rPr>
        <w:t>7. 报告期内，按时足额支付员工工资，工资总额达到</w:t>
      </w:r>
      <w:r>
        <w:rPr>
          <w:rFonts w:ascii="等线" w:hAnsi="等线" w:eastAsia="等线"/>
          <w:b w:val="0"/>
          <w:sz w:val="21"/>
          <w:highlight w:val="yellow"/>
        </w:rPr>
        <w:t>[X]</w:t>
      </w:r>
      <w:r>
        <w:rPr>
          <w:rFonts w:ascii="等线" w:hAnsi="等线" w:eastAsia="等线"/>
          <w:b w:val="0"/>
          <w:sz w:val="21"/>
        </w:rPr>
        <w:t>美元。同时，依法为员工缴纳社保，社保缴纳覆盖率达到100%。</w:t>
      </w:r>
    </w:p>
    <w:p>
      <w:pPr>
        <w:jc w:val="left"/>
      </w:pPr>
      <w:r>
        <w:rPr>
          <w:rFonts w:ascii="等线" w:hAnsi="等线" w:eastAsia="等线"/>
          <w:b w:val="0"/>
          <w:sz w:val="21"/>
        </w:rPr>
        <w:t>8. 在劳工纠纷方面，本报告期内共发生</w:t>
      </w:r>
      <w:r>
        <w:rPr>
          <w:rFonts w:ascii="等线" w:hAnsi="等线" w:eastAsia="等线"/>
          <w:b w:val="0"/>
          <w:sz w:val="21"/>
          <w:highlight w:val="yellow"/>
        </w:rPr>
        <w:t>[X]</w:t>
      </w:r>
      <w:r>
        <w:rPr>
          <w:rFonts w:ascii="等线" w:hAnsi="等线" w:eastAsia="等线"/>
          <w:b w:val="0"/>
          <w:sz w:val="21"/>
        </w:rPr>
        <w:t>起劳工纠纷事件，均通过内部协商沟通机制得到妥善解决。</w:t>
      </w:r>
    </w:p>
    <w:p>
      <w:pPr>
        <w:jc w:val="left"/>
      </w:pPr>
      <w:r>
        <w:rPr>
          <w:rFonts w:ascii="等线" w:hAnsi="等线" w:eastAsia="等线"/>
          <w:b w:val="0"/>
          <w:sz w:val="21"/>
        </w:rPr>
        <w:t>9. 员工变动情况，新入职员工</w:t>
      </w:r>
      <w:r>
        <w:rPr>
          <w:rFonts w:ascii="等线" w:hAnsi="等线" w:eastAsia="等线"/>
          <w:b w:val="0"/>
          <w:sz w:val="21"/>
          <w:highlight w:val="yellow"/>
        </w:rPr>
        <w:t>[X]</w:t>
      </w:r>
      <w:r>
        <w:rPr>
          <w:rFonts w:ascii="等线" w:hAnsi="等线" w:eastAsia="等线"/>
          <w:b w:val="0"/>
          <w:sz w:val="21"/>
        </w:rPr>
        <w:t>名，离职员工</w:t>
      </w:r>
      <w:r>
        <w:rPr>
          <w:rFonts w:ascii="等线" w:hAnsi="等线" w:eastAsia="等线"/>
          <w:b w:val="0"/>
          <w:sz w:val="21"/>
          <w:highlight w:val="yellow"/>
        </w:rPr>
        <w:t>[X]</w:t>
      </w:r>
      <w:r>
        <w:rPr>
          <w:rFonts w:ascii="等线" w:hAnsi="等线" w:eastAsia="等线"/>
          <w:b w:val="0"/>
          <w:sz w:val="21"/>
        </w:rPr>
        <w:t>名，员工离职率为</w:t>
      </w:r>
      <w:r>
        <w:rPr>
          <w:rFonts w:ascii="等线" w:hAnsi="等线" w:eastAsia="等线"/>
          <w:b w:val="0"/>
          <w:sz w:val="21"/>
          <w:highlight w:val="yellow"/>
        </w:rPr>
        <w:t>[X]</w:t>
      </w:r>
      <w:r>
        <w:rPr>
          <w:rFonts w:ascii="等线" w:hAnsi="等线" w:eastAsia="等线"/>
          <w:b w:val="0"/>
          <w:sz w:val="21"/>
        </w:rPr>
        <w:t>%。离职原因主要包括个人职业发展规划调整、家庭因素等。</w:t>
      </w:r>
    </w:p>
    <w:p>
      <w:pPr>
        <w:jc w:val="left"/>
      </w:pPr>
      <w:r>
        <w:rPr>
          <w:rFonts w:ascii="等线" w:hAnsi="等线" w:eastAsia="等线"/>
          <w:b w:val="0"/>
          <w:sz w:val="21"/>
        </w:rPr>
        <w:t>10. 对于灵活就业人员，保障其基本权益。按照相关法律法规和合作协议，为灵活就业人员提供合理的报酬，报酬支付及时率达到</w:t>
      </w:r>
      <w:r>
        <w:rPr>
          <w:rFonts w:ascii="等线" w:hAnsi="等线" w:eastAsia="等线"/>
          <w:b w:val="0"/>
          <w:sz w:val="21"/>
          <w:highlight w:val="yellow"/>
        </w:rPr>
        <w:t>[X]</w:t>
      </w:r>
      <w:r>
        <w:rPr>
          <w:rFonts w:ascii="等线" w:hAnsi="等线" w:eastAsia="等线"/>
          <w:b w:val="0"/>
          <w:sz w:val="21"/>
        </w:rPr>
        <w:t>%，并为其购买必要的商业保险。</w:t>
      </w:r>
    </w:p>
    <w:p>
      <w:pPr>
        <w:jc w:val="left"/>
      </w:pPr>
      <w:r>
        <w:rPr>
          <w:rFonts w:ascii="等线" w:hAnsi="等线" w:eastAsia="等线"/>
          <w:b w:val="0"/>
          <w:sz w:val="21"/>
        </w:rPr>
        <w:t>二、职业健康与安全</w:t>
      </w:r>
    </w:p>
    <w:p>
      <w:pPr>
        <w:jc w:val="left"/>
      </w:pPr>
      <w:r>
        <w:rPr>
          <w:rFonts w:ascii="等线" w:hAnsi="等线" w:eastAsia="等线"/>
          <w:b w:val="0"/>
          <w:sz w:val="21"/>
        </w:rPr>
        <w:t>1. 风险识别与评估</w:t>
      </w:r>
    </w:p>
    <w:p>
      <w:pPr>
        <w:jc w:val="left"/>
      </w:pPr>
      <w:r>
        <w:rPr>
          <w:rFonts w:ascii="等线" w:hAnsi="等线" w:eastAsia="等线"/>
          <w:b w:val="0"/>
          <w:sz w:val="21"/>
        </w:rPr>
        <w:t>2. 对公司职业安全风险进行全面识别与评估。主要风险来源包括办公场所的电气设备使用、办公家具的人体工程学设计等。通过风险矩阵评估法，识别出高风险因素</w:t>
      </w:r>
      <w:r>
        <w:rPr>
          <w:rFonts w:ascii="等线" w:hAnsi="等线" w:eastAsia="等线"/>
          <w:b w:val="0"/>
          <w:sz w:val="21"/>
          <w:highlight w:val="yellow"/>
        </w:rPr>
        <w:t>[X]</w:t>
      </w:r>
      <w:r>
        <w:rPr>
          <w:rFonts w:ascii="等线" w:hAnsi="等线" w:eastAsia="等线"/>
          <w:b w:val="0"/>
          <w:sz w:val="21"/>
        </w:rPr>
        <w:t>个，中风险因素</w:t>
      </w:r>
      <w:r>
        <w:rPr>
          <w:rFonts w:ascii="等线" w:hAnsi="等线" w:eastAsia="等线"/>
          <w:b w:val="0"/>
          <w:sz w:val="21"/>
          <w:highlight w:val="yellow"/>
        </w:rPr>
        <w:t>[X]</w:t>
      </w:r>
      <w:r>
        <w:rPr>
          <w:rFonts w:ascii="等线" w:hAnsi="等线" w:eastAsia="等线"/>
          <w:b w:val="0"/>
          <w:sz w:val="21"/>
        </w:rPr>
        <w:t>个，低风险因素</w:t>
      </w:r>
      <w:r>
        <w:rPr>
          <w:rFonts w:ascii="等线" w:hAnsi="等线" w:eastAsia="等线"/>
          <w:b w:val="0"/>
          <w:sz w:val="21"/>
          <w:highlight w:val="yellow"/>
        </w:rPr>
        <w:t>[X]</w:t>
      </w:r>
      <w:r>
        <w:rPr>
          <w:rFonts w:ascii="等线" w:hAnsi="等线" w:eastAsia="等线"/>
          <w:b w:val="0"/>
          <w:sz w:val="21"/>
        </w:rPr>
        <w:t>个。</w:t>
      </w:r>
    </w:p>
    <w:p>
      <w:pPr>
        <w:jc w:val="left"/>
      </w:pPr>
      <w:r>
        <w:rPr>
          <w:rFonts w:ascii="等线" w:hAnsi="等线" w:eastAsia="等线"/>
          <w:b w:val="0"/>
          <w:sz w:val="21"/>
        </w:rPr>
        <w:t>3. 管理体系与认证</w:t>
      </w:r>
    </w:p>
    <w:p>
      <w:pPr>
        <w:jc w:val="left"/>
      </w:pPr>
      <w:r>
        <w:rPr>
          <w:rFonts w:ascii="等线" w:hAnsi="等线" w:eastAsia="等线"/>
          <w:b w:val="0"/>
          <w:sz w:val="21"/>
        </w:rPr>
        <w:t>4. 建立了完善的职业健康安全管理体系，按照国际标准如OHSAS 18001（或ISO 45001）进行管理体系的构建与运行。已获得</w:t>
      </w:r>
      <w:r>
        <w:rPr>
          <w:rFonts w:ascii="等线" w:hAnsi="等线" w:eastAsia="等线"/>
          <w:b w:val="0"/>
          <w:sz w:val="21"/>
          <w:highlight w:val="yellow"/>
        </w:rPr>
        <w:t>[相关认证名称]</w:t>
      </w:r>
      <w:r>
        <w:rPr>
          <w:rFonts w:ascii="等线" w:hAnsi="等线" w:eastAsia="等线"/>
          <w:b w:val="0"/>
          <w:sz w:val="21"/>
        </w:rPr>
        <w:t>认证。</w:t>
      </w:r>
    </w:p>
    <w:p>
      <w:pPr>
        <w:jc w:val="left"/>
      </w:pPr>
      <w:r>
        <w:rPr>
          <w:rFonts w:ascii="等线" w:hAnsi="等线" w:eastAsia="等线"/>
          <w:b w:val="0"/>
          <w:sz w:val="21"/>
        </w:rPr>
        <w:t>5. 相应的职业健康安全培训方面，共开展</w:t>
      </w:r>
      <w:r>
        <w:rPr>
          <w:rFonts w:ascii="等线" w:hAnsi="等线" w:eastAsia="等线"/>
          <w:b w:val="0"/>
          <w:sz w:val="21"/>
          <w:highlight w:val="yellow"/>
        </w:rPr>
        <w:t>[X]</w:t>
      </w:r>
      <w:r>
        <w:rPr>
          <w:rFonts w:ascii="等线" w:hAnsi="等线" w:eastAsia="等线"/>
          <w:b w:val="0"/>
          <w:sz w:val="21"/>
        </w:rPr>
        <w:t>次培训，培训覆盖员工比例达到</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6. 在保险投入方面，工伤保险投入金额为</w:t>
      </w:r>
      <w:r>
        <w:rPr>
          <w:rFonts w:ascii="等线" w:hAnsi="等线" w:eastAsia="等线"/>
          <w:b w:val="0"/>
          <w:sz w:val="21"/>
          <w:highlight w:val="yellow"/>
        </w:rPr>
        <w:t>[X]</w:t>
      </w:r>
      <w:r>
        <w:rPr>
          <w:rFonts w:ascii="等线" w:hAnsi="等线" w:eastAsia="等线"/>
          <w:b w:val="0"/>
          <w:sz w:val="21"/>
        </w:rPr>
        <w:t>美元，人员覆盖率达到100%；安全生产责任险投入金额为</w:t>
      </w:r>
      <w:r>
        <w:rPr>
          <w:rFonts w:ascii="等线" w:hAnsi="等线" w:eastAsia="等线"/>
          <w:b w:val="0"/>
          <w:sz w:val="21"/>
          <w:highlight w:val="yellow"/>
        </w:rPr>
        <w:t>[X]</w:t>
      </w:r>
      <w:r>
        <w:rPr>
          <w:rFonts w:ascii="等线" w:hAnsi="等线" w:eastAsia="等线"/>
          <w:b w:val="0"/>
          <w:sz w:val="21"/>
        </w:rPr>
        <w:t>美元，人员覆盖率为</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7. 报告期内，未发生重大安全事故，仅发生</w:t>
      </w:r>
      <w:r>
        <w:rPr>
          <w:rFonts w:ascii="等线" w:hAnsi="等线" w:eastAsia="等线"/>
          <w:b w:val="0"/>
          <w:sz w:val="21"/>
          <w:highlight w:val="yellow"/>
        </w:rPr>
        <w:t>[X]</w:t>
      </w:r>
      <w:r>
        <w:rPr>
          <w:rFonts w:ascii="等线" w:hAnsi="等线" w:eastAsia="等线"/>
          <w:b w:val="0"/>
          <w:sz w:val="21"/>
        </w:rPr>
        <w:t>起轻微安全事故，如办公区域的小范围电气短路，未造成人员伤亡，通过及时维修和加强管理措施避免了类似事故再次发生。</w:t>
      </w:r>
    </w:p>
    <w:p>
      <w:pPr>
        <w:jc w:val="left"/>
      </w:pPr>
      <w:r>
        <w:rPr>
          <w:rFonts w:ascii="等线" w:hAnsi="等线" w:eastAsia="等线"/>
          <w:b w:val="0"/>
          <w:sz w:val="21"/>
        </w:rPr>
        <w:t>三、员工职业发展与培训</w:t>
      </w:r>
    </w:p>
    <w:p>
      <w:pPr>
        <w:jc w:val="left"/>
      </w:pPr>
      <w:r>
        <w:rPr>
          <w:rFonts w:ascii="等线" w:hAnsi="等线" w:eastAsia="等线"/>
          <w:b w:val="0"/>
          <w:sz w:val="21"/>
        </w:rPr>
        <w:t>1. 职位体系与发展机制</w:t>
      </w:r>
    </w:p>
    <w:p>
      <w:pPr>
        <w:jc w:val="left"/>
      </w:pPr>
      <w:r>
        <w:rPr>
          <w:rFonts w:ascii="等线" w:hAnsi="等线" w:eastAsia="等线"/>
          <w:b w:val="0"/>
          <w:sz w:val="21"/>
        </w:rPr>
        <w:t>2. 公司建立了多层次的职位体系，包括基层员工、基层管理人员、中层管理人员、高级管理人员等层级。员工晋升、选拔依据员工的工作业绩、能力素质、团队协作等多方面因素。通过内部竞聘、绩效评估等方式为员工提供晋升机会。</w:t>
      </w:r>
    </w:p>
    <w:p>
      <w:pPr>
        <w:jc w:val="left"/>
      </w:pPr>
      <w:r>
        <w:rPr>
          <w:rFonts w:ascii="等线" w:hAnsi="等线" w:eastAsia="等线"/>
          <w:b w:val="0"/>
          <w:sz w:val="21"/>
        </w:rPr>
        <w:t>3. 培训情况</w:t>
      </w:r>
    </w:p>
    <w:p>
      <w:pPr>
        <w:jc w:val="left"/>
      </w:pPr>
      <w:r>
        <w:rPr>
          <w:rFonts w:ascii="等线" w:hAnsi="等线" w:eastAsia="等线"/>
          <w:b w:val="0"/>
          <w:sz w:val="21"/>
        </w:rPr>
        <w:t>4. 员工培训类型丰富，包括业务技能培训、领导力培训、职业素养培训等。报告期内共开展培训</w:t>
      </w:r>
      <w:r>
        <w:rPr>
          <w:rFonts w:ascii="等线" w:hAnsi="等线" w:eastAsia="等线"/>
          <w:b w:val="0"/>
          <w:sz w:val="21"/>
          <w:highlight w:val="yellow"/>
        </w:rPr>
        <w:t>[X]</w:t>
      </w:r>
      <w:r>
        <w:rPr>
          <w:rFonts w:ascii="等线" w:hAnsi="等线" w:eastAsia="等线"/>
          <w:b w:val="0"/>
          <w:sz w:val="21"/>
        </w:rPr>
        <w:t>次，其中业务技能培训</w:t>
      </w:r>
      <w:r>
        <w:rPr>
          <w:rFonts w:ascii="等线" w:hAnsi="等线" w:eastAsia="等线"/>
          <w:b w:val="0"/>
          <w:sz w:val="21"/>
          <w:highlight w:val="yellow"/>
        </w:rPr>
        <w:t>[X]</w:t>
      </w:r>
      <w:r>
        <w:rPr>
          <w:rFonts w:ascii="等线" w:hAnsi="等线" w:eastAsia="等线"/>
          <w:b w:val="0"/>
          <w:sz w:val="21"/>
        </w:rPr>
        <w:t>次，领导力培训</w:t>
      </w:r>
      <w:r>
        <w:rPr>
          <w:rFonts w:ascii="等线" w:hAnsi="等线" w:eastAsia="等线"/>
          <w:b w:val="0"/>
          <w:sz w:val="21"/>
          <w:highlight w:val="yellow"/>
        </w:rPr>
        <w:t>[X]</w:t>
      </w:r>
      <w:r>
        <w:rPr>
          <w:rFonts w:ascii="等线" w:hAnsi="等线" w:eastAsia="等线"/>
          <w:b w:val="0"/>
          <w:sz w:val="21"/>
        </w:rPr>
        <w:t>次，职业素养培训</w:t>
      </w:r>
      <w:r>
        <w:rPr>
          <w:rFonts w:ascii="等线" w:hAnsi="等线" w:eastAsia="等线"/>
          <w:b w:val="0"/>
          <w:sz w:val="21"/>
          <w:highlight w:val="yellow"/>
        </w:rPr>
        <w:t>[X]</w:t>
      </w:r>
      <w:r>
        <w:rPr>
          <w:rFonts w:ascii="等线" w:hAnsi="等线" w:eastAsia="等线"/>
          <w:b w:val="0"/>
          <w:sz w:val="21"/>
        </w:rPr>
        <w:t>次。</w:t>
      </w:r>
    </w:p>
    <w:p>
      <w:pPr>
        <w:jc w:val="left"/>
      </w:pPr>
      <w:r>
        <w:rPr>
          <w:rFonts w:ascii="等线" w:hAnsi="等线" w:eastAsia="等线"/>
          <w:b w:val="0"/>
          <w:sz w:val="21"/>
        </w:rPr>
        <w:t>5. 年度培训支出金额为</w:t>
      </w:r>
      <w:r>
        <w:rPr>
          <w:rFonts w:ascii="等线" w:hAnsi="等线" w:eastAsia="等线"/>
          <w:b w:val="0"/>
          <w:sz w:val="21"/>
          <w:highlight w:val="yellow"/>
        </w:rPr>
        <w:t>[X]</w:t>
      </w:r>
      <w:r>
        <w:rPr>
          <w:rFonts w:ascii="等线" w:hAnsi="等线" w:eastAsia="等线"/>
          <w:b w:val="0"/>
          <w:sz w:val="21"/>
        </w:rPr>
        <w:t>美元，员工培训覆盖率达到</w:t>
      </w:r>
      <w:r>
        <w:rPr>
          <w:rFonts w:ascii="等线" w:hAnsi="等线" w:eastAsia="等线"/>
          <w:b w:val="0"/>
          <w:sz w:val="21"/>
          <w:highlight w:val="yellow"/>
        </w:rPr>
        <w:t>[X]</w:t>
      </w:r>
      <w:r>
        <w:rPr>
          <w:rFonts w:ascii="等线" w:hAnsi="等线" w:eastAsia="等线"/>
          <w:b w:val="0"/>
          <w:sz w:val="21"/>
        </w:rPr>
        <w:t>%，确保员工能够不断提升自身能力，适应公司发展和市场变化的需求。</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员工人数：男性</w:t>
            </w:r>
          </w:p>
        </w:tc>
        <w:tc>
          <w:tcPr>
            <w:tcW w:type="dxa" w:w="3213"/>
          </w:tcPr>
          <w:p>
            <w:r>
              <w:rPr>
                <w:sz w:val="21"/>
              </w:rPr>
              <w:t>人</w:t>
            </w:r>
          </w:p>
        </w:tc>
        <w:tc>
          <w:tcPr>
            <w:tcW w:type="dxa" w:w="3213"/>
          </w:tcPr>
          <w:p>
            <w:r>
              <w:rPr>
                <w:sz w:val="21"/>
              </w:rPr>
            </w:r>
          </w:p>
        </w:tc>
      </w:tr>
      <w:tr>
        <w:tc>
          <w:tcPr>
            <w:tcW w:type="dxa" w:w="3213"/>
          </w:tcPr>
          <w:p>
            <w:r>
              <w:rPr>
                <w:sz w:val="21"/>
              </w:rPr>
              <w:t>员工人数：女性</w:t>
            </w:r>
          </w:p>
        </w:tc>
        <w:tc>
          <w:tcPr>
            <w:tcW w:type="dxa" w:w="3213"/>
          </w:tcPr>
          <w:p>
            <w:r>
              <w:rPr>
                <w:sz w:val="21"/>
              </w:rPr>
              <w:t>人</w:t>
            </w:r>
          </w:p>
        </w:tc>
        <w:tc>
          <w:tcPr>
            <w:tcW w:type="dxa" w:w="3213"/>
          </w:tcPr>
          <w:p>
            <w:r>
              <w:rPr>
                <w:sz w:val="21"/>
              </w:rPr>
            </w:r>
          </w:p>
        </w:tc>
      </w:tr>
      <w:tr>
        <w:tc>
          <w:tcPr>
            <w:tcW w:type="dxa" w:w="3213"/>
          </w:tcPr>
          <w:p>
            <w:r>
              <w:rPr>
                <w:sz w:val="21"/>
              </w:rPr>
              <w:t>离职人数</w:t>
            </w:r>
          </w:p>
        </w:tc>
        <w:tc>
          <w:tcPr>
            <w:tcW w:type="dxa" w:w="3213"/>
          </w:tcPr>
          <w:p>
            <w:r>
              <w:rPr>
                <w:sz w:val="21"/>
              </w:rPr>
              <w:t>人</w:t>
            </w:r>
          </w:p>
        </w:tc>
        <w:tc>
          <w:tcPr>
            <w:tcW w:type="dxa" w:w="3213"/>
          </w:tcPr>
          <w:p>
            <w:r>
              <w:rPr>
                <w:sz w:val="21"/>
              </w:rPr>
            </w:r>
          </w:p>
        </w:tc>
      </w:tr>
      <w:tr>
        <w:tc>
          <w:tcPr>
            <w:tcW w:type="dxa" w:w="3213"/>
          </w:tcPr>
          <w:p>
            <w:r>
              <w:rPr>
                <w:sz w:val="21"/>
              </w:rPr>
              <w:t>离职人数：男性</w:t>
            </w:r>
          </w:p>
        </w:tc>
        <w:tc>
          <w:tcPr>
            <w:tcW w:type="dxa" w:w="3213"/>
          </w:tcPr>
          <w:p>
            <w:r>
              <w:rPr>
                <w:sz w:val="21"/>
              </w:rPr>
              <w:t>人</w:t>
            </w:r>
          </w:p>
        </w:tc>
        <w:tc>
          <w:tcPr>
            <w:tcW w:type="dxa" w:w="3213"/>
          </w:tcPr>
          <w:p>
            <w:r>
              <w:rPr>
                <w:sz w:val="21"/>
              </w:rPr>
            </w:r>
          </w:p>
        </w:tc>
      </w:tr>
      <w:tr>
        <w:tc>
          <w:tcPr>
            <w:tcW w:type="dxa" w:w="3213"/>
          </w:tcPr>
          <w:p>
            <w:r>
              <w:rPr>
                <w:sz w:val="21"/>
              </w:rPr>
              <w:t>离职人数：女性</w:t>
            </w:r>
          </w:p>
        </w:tc>
        <w:tc>
          <w:tcPr>
            <w:tcW w:type="dxa" w:w="3213"/>
          </w:tcPr>
          <w:p>
            <w:r>
              <w:rPr>
                <w:sz w:val="21"/>
              </w:rPr>
              <w:t>人</w:t>
            </w:r>
          </w:p>
        </w:tc>
        <w:tc>
          <w:tcPr>
            <w:tcW w:type="dxa" w:w="3213"/>
          </w:tcPr>
          <w:p>
            <w:r>
              <w:rPr>
                <w:sz w:val="21"/>
              </w:rPr>
            </w:r>
          </w:p>
        </w:tc>
      </w:tr>
      <w:tr>
        <w:tc>
          <w:tcPr>
            <w:tcW w:type="dxa" w:w="3213"/>
          </w:tcPr>
          <w:p>
            <w:r>
              <w:rPr>
                <w:sz w:val="21"/>
              </w:rPr>
              <w:t>员工人数</w:t>
            </w:r>
          </w:p>
        </w:tc>
        <w:tc>
          <w:tcPr>
            <w:tcW w:type="dxa" w:w="3213"/>
          </w:tcPr>
          <w:p>
            <w:r>
              <w:rPr>
                <w:sz w:val="21"/>
              </w:rPr>
              <w:t>人</w:t>
            </w:r>
          </w:p>
        </w:tc>
        <w:tc>
          <w:tcPr>
            <w:tcW w:type="dxa" w:w="3213"/>
          </w:tcPr>
          <w:p>
            <w:r>
              <w:rPr>
                <w:sz w:val="21"/>
              </w:rPr>
            </w:r>
          </w:p>
        </w:tc>
      </w:tr>
      <w:tr>
        <w:tc>
          <w:tcPr>
            <w:tcW w:type="dxa" w:w="3213"/>
          </w:tcPr>
          <w:p>
            <w:r>
              <w:rPr>
                <w:sz w:val="21"/>
              </w:rPr>
              <w:t>员工培训时长</w:t>
            </w:r>
          </w:p>
        </w:tc>
        <w:tc>
          <w:tcPr>
            <w:tcW w:type="dxa" w:w="3213"/>
          </w:tcPr>
          <w:p>
            <w:r>
              <w:rPr>
                <w:sz w:val="21"/>
              </w:rPr>
              <w:t>小时</w:t>
            </w:r>
          </w:p>
        </w:tc>
        <w:tc>
          <w:tcPr>
            <w:tcW w:type="dxa" w:w="3213"/>
          </w:tcPr>
          <w:p>
            <w:r>
              <w:rPr>
                <w:sz w:val="21"/>
              </w:rPr>
            </w:r>
          </w:p>
        </w:tc>
      </w:tr>
      <w:tr>
        <w:tc>
          <w:tcPr>
            <w:tcW w:type="dxa" w:w="3213"/>
          </w:tcPr>
          <w:p>
            <w:r>
              <w:rPr>
                <w:sz w:val="21"/>
              </w:rPr>
              <w:t>员工培训时长：男性</w:t>
            </w:r>
          </w:p>
        </w:tc>
        <w:tc>
          <w:tcPr>
            <w:tcW w:type="dxa" w:w="3213"/>
          </w:tcPr>
          <w:p>
            <w:r>
              <w:rPr>
                <w:sz w:val="21"/>
              </w:rPr>
              <w:t>小时</w:t>
            </w:r>
          </w:p>
        </w:tc>
        <w:tc>
          <w:tcPr>
            <w:tcW w:type="dxa" w:w="3213"/>
          </w:tcPr>
          <w:p>
            <w:r>
              <w:rPr>
                <w:sz w:val="21"/>
              </w:rPr>
            </w:r>
          </w:p>
        </w:tc>
      </w:tr>
      <w:tr>
        <w:tc>
          <w:tcPr>
            <w:tcW w:type="dxa" w:w="3213"/>
          </w:tcPr>
          <w:p>
            <w:r>
              <w:rPr>
                <w:sz w:val="21"/>
              </w:rPr>
              <w:t>员工培训时长：女性</w:t>
            </w:r>
          </w:p>
        </w:tc>
        <w:tc>
          <w:tcPr>
            <w:tcW w:type="dxa" w:w="3213"/>
          </w:tcPr>
          <w:p>
            <w:r>
              <w:rPr>
                <w:sz w:val="21"/>
              </w:rPr>
              <w:t>小时</w:t>
            </w:r>
          </w:p>
        </w:tc>
        <w:tc>
          <w:tcPr>
            <w:tcW w:type="dxa" w:w="3213"/>
          </w:tcPr>
          <w:p>
            <w:r>
              <w:rPr>
                <w:sz w:val="21"/>
              </w:rPr>
            </w:r>
          </w:p>
        </w:tc>
      </w:tr>
      <w:tr>
        <w:tc>
          <w:tcPr>
            <w:tcW w:type="dxa" w:w="3213"/>
          </w:tcPr>
          <w:p>
            <w:r>
              <w:rPr>
                <w:sz w:val="21"/>
              </w:rPr>
              <w:t>工伤人数</w:t>
            </w:r>
          </w:p>
        </w:tc>
        <w:tc>
          <w:tcPr>
            <w:tcW w:type="dxa" w:w="3213"/>
          </w:tcPr>
          <w:p>
            <w:r>
              <w:rPr>
                <w:sz w:val="21"/>
              </w:rPr>
              <w:t>人</w:t>
            </w:r>
          </w:p>
        </w:tc>
        <w:tc>
          <w:tcPr>
            <w:tcW w:type="dxa" w:w="3213"/>
          </w:tcPr>
          <w:p>
            <w:r>
              <w:rPr>
                <w:sz w:val="21"/>
              </w:rPr>
            </w:r>
          </w:p>
        </w:tc>
      </w:tr>
      <w:tr>
        <w:tc>
          <w:tcPr>
            <w:tcW w:type="dxa" w:w="3213"/>
          </w:tcPr>
          <w:p>
            <w:r>
              <w:rPr>
                <w:sz w:val="21"/>
              </w:rPr>
              <w:t>工亡人数</w:t>
            </w:r>
          </w:p>
        </w:tc>
        <w:tc>
          <w:tcPr>
            <w:tcW w:type="dxa" w:w="3213"/>
          </w:tcPr>
          <w:p>
            <w:r>
              <w:rPr>
                <w:sz w:val="21"/>
              </w:rPr>
              <w:t>人</w:t>
            </w:r>
          </w:p>
        </w:tc>
        <w:tc>
          <w:tcPr>
            <w:tcW w:type="dxa" w:w="3213"/>
          </w:tcPr>
          <w:p>
            <w:r>
              <w:rPr>
                <w:sz w:val="21"/>
              </w:rPr>
            </w:r>
          </w:p>
        </w:tc>
      </w:tr>
      <w:tr>
        <w:tc>
          <w:tcPr>
            <w:tcW w:type="dxa" w:w="3213"/>
          </w:tcPr>
          <w:p>
            <w:r>
              <w:rPr>
                <w:sz w:val="21"/>
              </w:rPr>
              <w:t>工伤率（工伤/百万工时）</w:t>
            </w:r>
          </w:p>
        </w:tc>
        <w:tc>
          <w:tcPr>
            <w:tcW w:type="dxa" w:w="3213"/>
          </w:tcPr>
          <w:p>
            <w:r>
              <w:rPr>
                <w:sz w:val="21"/>
              </w:rPr>
              <w:t>人次</w:t>
            </w:r>
          </w:p>
        </w:tc>
        <w:tc>
          <w:tcPr>
            <w:tcW w:type="dxa" w:w="3213"/>
          </w:tcPr>
          <w:p>
            <w:r>
              <w:rPr>
                <w:sz w:val="21"/>
              </w:rPr>
            </w:r>
          </w:p>
        </w:tc>
      </w:tr>
      <w:tr>
        <w:tc>
          <w:tcPr>
            <w:tcW w:type="dxa" w:w="3213"/>
          </w:tcPr>
          <w:p>
            <w:r>
              <w:rPr>
                <w:sz w:val="21"/>
              </w:rPr>
              <w:t>工亡率（工亡/百万工时）</w:t>
            </w:r>
          </w:p>
        </w:tc>
        <w:tc>
          <w:tcPr>
            <w:tcW w:type="dxa" w:w="3213"/>
          </w:tcPr>
          <w:p>
            <w:r>
              <w:rPr>
                <w:sz w:val="21"/>
              </w:rPr>
              <w:t>人次</w:t>
            </w:r>
          </w:p>
        </w:tc>
        <w:tc>
          <w:tcPr>
            <w:tcW w:type="dxa" w:w="3213"/>
          </w:tcPr>
          <w:p>
            <w:r>
              <w:rPr>
                <w:sz w:val="21"/>
              </w:rPr>
            </w:r>
          </w:p>
        </w:tc>
      </w:tr>
      <w:tr>
        <w:tc>
          <w:tcPr>
            <w:tcW w:type="dxa" w:w="3213"/>
          </w:tcPr>
          <w:p>
            <w:r>
              <w:rPr>
                <w:sz w:val="21"/>
              </w:rPr>
              <w:t>社保覆盖率</w:t>
            </w:r>
          </w:p>
        </w:tc>
        <w:tc>
          <w:tcPr>
            <w:tcW w:type="dxa" w:w="3213"/>
          </w:tcPr>
          <w:p>
            <w:r>
              <w:rPr>
                <w:sz w:val="21"/>
              </w:rPr>
            </w:r>
          </w:p>
        </w:tc>
        <w:tc>
          <w:tcPr>
            <w:tcW w:type="dxa" w:w="3213"/>
          </w:tcPr>
          <w:p>
            <w:r>
              <w:rPr>
                <w:sz w:val="21"/>
              </w:rPr>
            </w:r>
          </w:p>
        </w:tc>
      </w:tr>
      <w:tr>
        <w:tc>
          <w:tcPr>
            <w:tcW w:type="dxa" w:w="3213"/>
          </w:tcPr>
          <w:p>
            <w:r>
              <w:rPr>
                <w:sz w:val="21"/>
              </w:rPr>
              <w:t>人均带薪年休假天数</w:t>
            </w:r>
          </w:p>
        </w:tc>
        <w:tc>
          <w:tcPr>
            <w:tcW w:type="dxa" w:w="3213"/>
          </w:tcPr>
          <w:p>
            <w:r>
              <w:rPr>
                <w:sz w:val="21"/>
              </w:rPr>
              <w:t>天</w:t>
            </w:r>
          </w:p>
        </w:tc>
        <w:tc>
          <w:tcPr>
            <w:tcW w:type="dxa" w:w="3213"/>
          </w:tcPr>
          <w:p>
            <w:r>
              <w:rPr>
                <w:sz w:val="21"/>
              </w:rPr>
            </w:r>
          </w:p>
        </w:tc>
      </w:tr>
      <w:tr>
        <w:tc>
          <w:tcPr>
            <w:tcW w:type="dxa" w:w="3213"/>
          </w:tcPr>
          <w:p>
            <w:r>
              <w:rPr>
                <w:sz w:val="21"/>
              </w:rPr>
              <w:t>员工离职率</w:t>
            </w:r>
          </w:p>
        </w:tc>
        <w:tc>
          <w:tcPr>
            <w:tcW w:type="dxa" w:w="3213"/>
          </w:tcPr>
          <w:p>
            <w:r>
              <w:rPr>
                <w:sz w:val="21"/>
              </w:rPr>
            </w:r>
          </w:p>
        </w:tc>
        <w:tc>
          <w:tcPr>
            <w:tcW w:type="dxa" w:w="3213"/>
          </w:tcPr>
          <w:p>
            <w:r>
              <w:rPr>
                <w:sz w:val="21"/>
              </w:rPr>
            </w:r>
          </w:p>
        </w:tc>
      </w:tr>
      <w:tr>
        <w:tc>
          <w:tcPr>
            <w:tcW w:type="dxa" w:w="3213"/>
          </w:tcPr>
          <w:p>
            <w:r>
              <w:rPr>
                <w:sz w:val="21"/>
              </w:rPr>
              <w:t>员工人均培训时长</w:t>
            </w:r>
          </w:p>
        </w:tc>
        <w:tc>
          <w:tcPr>
            <w:tcW w:type="dxa" w:w="3213"/>
          </w:tcPr>
          <w:p>
            <w:r>
              <w:rPr>
                <w:sz w:val="21"/>
              </w:rPr>
              <w:t>小时</w:t>
            </w:r>
          </w:p>
        </w:tc>
        <w:tc>
          <w:tcPr>
            <w:tcW w:type="dxa" w:w="3213"/>
          </w:tcPr>
          <w:p>
            <w:r>
              <w:rPr>
                <w:sz w:val="21"/>
              </w:rPr>
            </w:r>
          </w:p>
        </w:tc>
      </w:tr>
    </w:tbl>
    <w:p>
      <w:pPr>
        <w:pStyle w:val="Heading2"/>
      </w:pPr>
      <w:r>
        <w:rPr>
          <w:rFonts w:ascii="等线" w:hAnsi="等线" w:eastAsia="等线"/>
          <w:color w:val="000000"/>
          <w:sz w:val="32"/>
        </w:rPr>
        <w:t>结社自由与集体谈判</w:t>
      </w:r>
    </w:p>
    <w:p>
      <w:pPr>
        <w:jc w:val="left"/>
      </w:pPr>
      <w:r>
        <w:rPr>
          <w:rFonts w:ascii="等线" w:hAnsi="等线" w:eastAsia="等线"/>
          <w:b w:val="0"/>
          <w:sz w:val="21"/>
        </w:rPr>
        <w:t>以下是面向国际市场的大型国有银行业企业ESG报告中社会 - 结社自由与集体谈判的内容模板：</w:t>
      </w:r>
    </w:p>
    <w:p>
      <w:pPr>
        <w:jc w:val="left"/>
      </w:pPr>
      <w:r>
        <w:rPr>
          <w:rFonts w:ascii="等线" w:hAnsi="等线" w:eastAsia="等线"/>
          <w:b w:val="0"/>
          <w:sz w:val="21"/>
        </w:rPr>
        <w:t>一、议题管理披露项</w:t>
      </w:r>
    </w:p>
    <w:p>
      <w:pPr>
        <w:jc w:val="left"/>
      </w:pPr>
      <w:r>
        <w:rPr>
          <w:rFonts w:ascii="等线" w:hAnsi="等线" w:eastAsia="等线"/>
          <w:b w:val="0"/>
          <w:sz w:val="21"/>
        </w:rPr>
        <w:t>（一）政策与承诺</w:t>
      </w:r>
    </w:p>
    <w:p>
      <w:pPr>
        <w:jc w:val="left"/>
      </w:pPr>
      <w:r>
        <w:rPr>
          <w:rFonts w:ascii="等线" w:hAnsi="等线" w:eastAsia="等线"/>
          <w:b w:val="0"/>
          <w:sz w:val="21"/>
        </w:rPr>
        <w:t>本银行坚决支持结社自由与集体谈判的权利。在企业的全球运营政策中明确规定，无论是在企业内部的员工关系管理，还是与供应商的合作过程中，都要充分尊重结社自由与集体谈判权。我们承诺遵守国际劳工组织（ILO）核心公约中关于结社自由与集体谈判的相关规定，将这些原则融入到企业的社会责任框架之中。</w:t>
      </w:r>
    </w:p>
    <w:p>
      <w:pPr>
        <w:jc w:val="left"/>
      </w:pPr>
      <w:r>
        <w:rPr>
          <w:rFonts w:ascii="等线" w:hAnsi="等线" w:eastAsia="等线"/>
          <w:b w:val="0"/>
          <w:sz w:val="21"/>
        </w:rPr>
        <w:t>（二）管理体系</w:t>
      </w:r>
    </w:p>
    <w:p>
      <w:pPr>
        <w:jc w:val="left"/>
      </w:pPr>
      <w:r>
        <w:rPr>
          <w:rFonts w:ascii="等线" w:hAnsi="等线" w:eastAsia="等线"/>
          <w:b w:val="0"/>
          <w:sz w:val="21"/>
        </w:rPr>
        <w:t>1. 内部管理为确保结社自由与集体谈判权利的有效维护，本银行建立了完善的人力资源管理体系。在总行层面，设有专门的员工关系管理部门，负责处理与员工权益相关的事务，包括结社自由与集体谈判相关的咨询与协调工作。该部门定期对各级分行和海外分支机构进行培训与指导，确保所有员工都清楚知晓自己的权利。</w:t>
      </w:r>
    </w:p>
    <w:p>
      <w:pPr>
        <w:jc w:val="left"/>
      </w:pPr>
      <w:r>
        <w:rPr>
          <w:rFonts w:ascii="等线" w:hAnsi="等线" w:eastAsia="等线"/>
          <w:b w:val="0"/>
          <w:sz w:val="21"/>
        </w:rPr>
        <w:t>2. 供应商管理在供应商管理方面，我们将结社自由与集体谈判权利纳入供应商评估体系。在对新供应商进行资格审查时，要求其提供遵守相关劳动权益法规的承诺文件，其中明确包含对结社自由与集体谈判权利的保障条款。对于现有供应商，每年进行定期评估，评估指标中涉及结社自由与集体谈判权利保障情况的占比达到</w:t>
      </w:r>
      <w:r>
        <w:rPr>
          <w:rFonts w:ascii="等线" w:hAnsi="等线" w:eastAsia="等线"/>
          <w:b w:val="0"/>
          <w:sz w:val="21"/>
          <w:highlight w:val="yellow"/>
        </w:rPr>
        <w:t>[X]</w:t>
      </w:r>
      <w:r>
        <w:rPr>
          <w:rFonts w:ascii="等线" w:hAnsi="等线" w:eastAsia="等线"/>
          <w:b w:val="0"/>
          <w:sz w:val="21"/>
        </w:rPr>
        <w:t>%。若发现供应商存在违反该项权利的情况，我们将视情节轻重给予警告、整改要求直至终止合作关系。</w:t>
      </w:r>
    </w:p>
    <w:p>
      <w:pPr>
        <w:jc w:val="left"/>
      </w:pPr>
      <w:r>
        <w:rPr>
          <w:rFonts w:ascii="等线" w:hAnsi="等线" w:eastAsia="等线"/>
          <w:b w:val="0"/>
          <w:sz w:val="21"/>
        </w:rPr>
        <w:t>二、议题披露项</w:t>
      </w:r>
    </w:p>
    <w:p>
      <w:pPr>
        <w:jc w:val="left"/>
      </w:pPr>
      <w:r>
        <w:rPr>
          <w:rFonts w:ascii="等线" w:hAnsi="等线" w:eastAsia="等线"/>
          <w:b w:val="0"/>
          <w:sz w:val="21"/>
        </w:rPr>
        <w:t>（一）结社自由与集体谈判权利可能面临风险的运营点和供应商</w:t>
      </w:r>
    </w:p>
    <w:p>
      <w:pPr>
        <w:jc w:val="left"/>
      </w:pPr>
      <w:r>
        <w:rPr>
          <w:rFonts w:ascii="等线" w:hAnsi="等线" w:eastAsia="等线"/>
          <w:b w:val="0"/>
          <w:sz w:val="21"/>
        </w:rPr>
        <w:t>1. 运营点分析</w:t>
      </w:r>
    </w:p>
    <w:p>
      <w:pPr>
        <w:ind w:left="480"/>
        <w:jc w:val="left"/>
      </w:pPr>
      <w:r>
        <w:rPr>
          <w:rFonts w:ascii="等线" w:hAnsi="等线" w:eastAsia="等线"/>
          <w:b w:val="0"/>
          <w:sz w:val="21"/>
        </w:rPr>
        <w:t>◦ 在国内运营方面，本银行在全国范围内拥有众多分支机构。通过内部调查发现，在一些经济欠发达地区的小型分支机构，可能存在对结社自由与集体谈判权利宣传不到位的情况。虽然目前尚未发现实际的侵权事件，但潜在风险不容忽视。针对这一情况，我们已制定计划，在未来</w:t>
      </w:r>
      <w:r>
        <w:rPr>
          <w:rFonts w:ascii="等线" w:hAnsi="等线" w:eastAsia="等线"/>
          <w:b w:val="0"/>
          <w:sz w:val="21"/>
          <w:highlight w:val="yellow"/>
        </w:rPr>
        <w:t>[X]</w:t>
      </w:r>
      <w:r>
        <w:rPr>
          <w:rFonts w:ascii="等线" w:hAnsi="等线" w:eastAsia="等线"/>
          <w:b w:val="0"/>
          <w:sz w:val="21"/>
        </w:rPr>
        <w:t>个月内对这些地区的分支机构进行专项培训，预计培训覆盖员工人数将达到</w:t>
      </w:r>
      <w:r>
        <w:rPr>
          <w:rFonts w:ascii="等线" w:hAnsi="等线" w:eastAsia="等线"/>
          <w:b w:val="0"/>
          <w:sz w:val="21"/>
          <w:highlight w:val="yellow"/>
        </w:rPr>
        <w:t>[X]</w:t>
      </w:r>
      <w:r>
        <w:rPr>
          <w:rFonts w:ascii="等线" w:hAnsi="等线" w:eastAsia="等线"/>
          <w:b w:val="0"/>
          <w:sz w:val="21"/>
        </w:rPr>
        <w:t>人，以确保每一位员工都能深入理解结社自由与集体谈判的权利内涵。</w:t>
      </w:r>
    </w:p>
    <w:p>
      <w:pPr>
        <w:ind w:left="480"/>
        <w:jc w:val="left"/>
      </w:pPr>
      <w:r>
        <w:rPr>
          <w:rFonts w:ascii="等线" w:hAnsi="等线" w:eastAsia="等线"/>
          <w:b w:val="0"/>
          <w:sz w:val="21"/>
        </w:rPr>
        <w:t>◦ 在海外运营方面，我们在</w:t>
      </w:r>
      <w:r>
        <w:rPr>
          <w:rFonts w:ascii="等线" w:hAnsi="等线" w:eastAsia="等线"/>
          <w:b w:val="0"/>
          <w:sz w:val="21"/>
          <w:highlight w:val="yellow"/>
        </w:rPr>
        <w:t>[具体国家名称]</w:t>
      </w:r>
      <w:r>
        <w:rPr>
          <w:rFonts w:ascii="等线" w:hAnsi="等线" w:eastAsia="等线"/>
          <w:b w:val="0"/>
          <w:sz w:val="21"/>
        </w:rPr>
        <w:t>等国家设有分行或代表处。由于当地的政治、文化和法律环境的差异，可能会面临一些风险。例如，在</w:t>
      </w:r>
      <w:r>
        <w:rPr>
          <w:rFonts w:ascii="等线" w:hAnsi="等线" w:eastAsia="等线"/>
          <w:b w:val="0"/>
          <w:sz w:val="21"/>
          <w:highlight w:val="yellow"/>
        </w:rPr>
        <w:t>[具体国家名称]</w:t>
      </w:r>
      <w:r>
        <w:rPr>
          <w:rFonts w:ascii="等线" w:hAnsi="等线" w:eastAsia="等线"/>
          <w:b w:val="0"/>
          <w:sz w:val="21"/>
        </w:rPr>
        <w:t>，当地的工会组织较为活跃，法律法规对集体谈判的程序和要求较为复杂。为应对这一情况，我们在当地聘请了专业的法律顾问，其工作时长达到每年</w:t>
      </w:r>
      <w:r>
        <w:rPr>
          <w:rFonts w:ascii="等线" w:hAnsi="等线" w:eastAsia="等线"/>
          <w:b w:val="0"/>
          <w:sz w:val="21"/>
          <w:highlight w:val="yellow"/>
        </w:rPr>
        <w:t>[X]</w:t>
      </w:r>
      <w:r>
        <w:rPr>
          <w:rFonts w:ascii="等线" w:hAnsi="等线" w:eastAsia="等线"/>
          <w:b w:val="0"/>
          <w:sz w:val="21"/>
        </w:rPr>
        <w:t>小时，专门负责解读当地法律法规，并为员工提供法律咨询服务。同时，我们积极与当地工会组织建立沟通机制，定期开展对话会议，每年至少</w:t>
      </w:r>
      <w:r>
        <w:rPr>
          <w:rFonts w:ascii="等线" w:hAnsi="等线" w:eastAsia="等线"/>
          <w:b w:val="0"/>
          <w:sz w:val="21"/>
          <w:highlight w:val="yellow"/>
        </w:rPr>
        <w:t>[X]</w:t>
      </w:r>
      <w:r>
        <w:rPr>
          <w:rFonts w:ascii="等线" w:hAnsi="等线" w:eastAsia="等线"/>
          <w:b w:val="0"/>
          <w:sz w:val="21"/>
        </w:rPr>
        <w:t>次，以确保双方能够在尊重当地法律和企业运营规则的基础上，有效维护员工的结社自由与集体谈判权利。</w:t>
      </w:r>
    </w:p>
    <w:p>
      <w:pPr>
        <w:jc w:val="left"/>
      </w:pPr>
      <w:r>
        <w:rPr>
          <w:rFonts w:ascii="等线" w:hAnsi="等线" w:eastAsia="等线"/>
          <w:b w:val="0"/>
          <w:sz w:val="21"/>
        </w:rPr>
        <w:t>2. 供应商分析</w:t>
      </w:r>
    </w:p>
    <w:p>
      <w:pPr>
        <w:ind w:left="480"/>
        <w:jc w:val="left"/>
      </w:pPr>
      <w:r>
        <w:rPr>
          <w:rFonts w:ascii="等线" w:hAnsi="等线" w:eastAsia="等线"/>
          <w:b w:val="0"/>
          <w:sz w:val="21"/>
        </w:rPr>
        <w:t>◦ 在供应商方面，我们对全球范围内的供应商进行了排查。发现部分位于新兴经济体的供应商，由于当地劳动法规执行力度相对较弱，可能存在对员工结社自由与集体谈判权利保障不足的风险。我们的供应商总数为</w:t>
      </w:r>
      <w:r>
        <w:rPr>
          <w:rFonts w:ascii="等线" w:hAnsi="等线" w:eastAsia="等线"/>
          <w:b w:val="0"/>
          <w:sz w:val="21"/>
          <w:highlight w:val="yellow"/>
        </w:rPr>
        <w:t>[X]</w:t>
      </w:r>
      <w:r>
        <w:rPr>
          <w:rFonts w:ascii="等线" w:hAnsi="等线" w:eastAsia="等线"/>
          <w:b w:val="0"/>
          <w:sz w:val="21"/>
        </w:rPr>
        <w:t>家，经过评估，其中约</w:t>
      </w:r>
      <w:r>
        <w:rPr>
          <w:rFonts w:ascii="等线" w:hAnsi="等线" w:eastAsia="等线"/>
          <w:b w:val="0"/>
          <w:sz w:val="21"/>
          <w:highlight w:val="yellow"/>
        </w:rPr>
        <w:t>[X]</w:t>
      </w:r>
      <w:r>
        <w:rPr>
          <w:rFonts w:ascii="等线" w:hAnsi="等线" w:eastAsia="等线"/>
          <w:b w:val="0"/>
          <w:sz w:val="21"/>
        </w:rPr>
        <w:t>%（即</w:t>
      </w:r>
      <w:r>
        <w:rPr>
          <w:rFonts w:ascii="等线" w:hAnsi="等线" w:eastAsia="等线"/>
          <w:b w:val="0"/>
          <w:sz w:val="21"/>
          <w:highlight w:val="yellow"/>
        </w:rPr>
        <w:t>[X]</w:t>
      </w:r>
      <w:r>
        <w:rPr>
          <w:rFonts w:ascii="等线" w:hAnsi="等线" w:eastAsia="等线"/>
          <w:b w:val="0"/>
          <w:sz w:val="21"/>
        </w:rPr>
        <w:t>家）的供应商在这方面存在一定风险。针对这些供应商，我们已与其进行一对一的沟通，要求其在</w:t>
      </w:r>
      <w:r>
        <w:rPr>
          <w:rFonts w:ascii="等线" w:hAnsi="等线" w:eastAsia="等线"/>
          <w:b w:val="0"/>
          <w:sz w:val="21"/>
          <w:highlight w:val="yellow"/>
        </w:rPr>
        <w:t>[具体时长]</w:t>
      </w:r>
      <w:r>
        <w:rPr>
          <w:rFonts w:ascii="等线" w:hAnsi="等线" w:eastAsia="等线"/>
          <w:b w:val="0"/>
          <w:sz w:val="21"/>
        </w:rPr>
        <w:t>内制定整改计划。整改计划需明确具体的改进措施，例如成立员工权益保障小组、开展劳动权益法规培训等。我们将持续跟踪这些供应商的整改情况，预计在未来</w:t>
      </w:r>
      <w:r>
        <w:rPr>
          <w:rFonts w:ascii="等线" w:hAnsi="等线" w:eastAsia="等线"/>
          <w:b w:val="0"/>
          <w:sz w:val="21"/>
          <w:highlight w:val="yellow"/>
        </w:rPr>
        <w:t>[X]</w:t>
      </w:r>
      <w:r>
        <w:rPr>
          <w:rFonts w:ascii="等线" w:hAnsi="等线" w:eastAsia="等线"/>
          <w:b w:val="0"/>
          <w:sz w:val="21"/>
        </w:rPr>
        <w:t>年内，使存在风险的供应商数量降低</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本银行将持续关注结社自由与集体谈判权利的保障情况，不断完善内部管理和供应商管理体系，以确保在全球运营过程中充分尊重这一基本权利。</w:t>
      </w:r>
    </w:p>
    <w:p>
      <w:pPr>
        <w:pStyle w:val="Heading2"/>
      </w:pPr>
      <w:r>
        <w:rPr>
          <w:rFonts w:ascii="等线" w:hAnsi="等线" w:eastAsia="等线"/>
          <w:color w:val="000000"/>
          <w:sz w:val="32"/>
        </w:rPr>
        <w:t>童工</w:t>
      </w:r>
    </w:p>
    <w:p>
      <w:pPr>
        <w:jc w:val="left"/>
      </w:pPr>
      <w:r>
        <w:rPr>
          <w:rFonts w:ascii="等线" w:hAnsi="等线" w:eastAsia="等线"/>
          <w:b w:val="0"/>
          <w:sz w:val="21"/>
        </w:rPr>
        <w:t>以下是面向国际市场的大型国有银行业企业ESG报告中社会 - 童工部分的内容模板：</w:t>
      </w:r>
    </w:p>
    <w:p>
      <w:pPr>
        <w:jc w:val="left"/>
      </w:pPr>
      <w:r>
        <w:rPr>
          <w:rFonts w:ascii="等线" w:hAnsi="等线" w:eastAsia="等线"/>
          <w:b w:val="0"/>
          <w:sz w:val="21"/>
        </w:rPr>
        <w:t>一、议题管理披露项</w:t>
      </w:r>
    </w:p>
    <w:p>
      <w:pPr>
        <w:jc w:val="left"/>
      </w:pPr>
      <w:r>
        <w:rPr>
          <w:rFonts w:ascii="等线" w:hAnsi="等线" w:eastAsia="等线"/>
          <w:b w:val="0"/>
          <w:sz w:val="21"/>
        </w:rPr>
        <w:t>（一）政策与承诺</w:t>
      </w:r>
    </w:p>
    <w:p>
      <w:pPr>
        <w:jc w:val="left"/>
      </w:pPr>
      <w:r>
        <w:rPr>
          <w:rFonts w:ascii="等线" w:hAnsi="等线" w:eastAsia="等线"/>
          <w:b w:val="0"/>
          <w:sz w:val="21"/>
        </w:rPr>
        <w:t>本银行坚决反对使用童工，遵循国际劳工组织（ILO）关于童工的相关公约，包括《最低年龄公约》（第138号）和《最恶劣形式的童工劳动公约》（第182号）等国际标准。我们制定了内部政策，明确规定在银行自身运营以及与供应商的合作过程中，严禁任何形式的童工使用。这一政策适用于我们全球范围内的所有分支机构、子公司以及业务合作伙伴。</w:t>
      </w:r>
    </w:p>
    <w:p>
      <w:pPr>
        <w:jc w:val="left"/>
      </w:pPr>
      <w:r>
        <w:rPr>
          <w:rFonts w:ascii="等线" w:hAnsi="等线" w:eastAsia="等线"/>
          <w:b w:val="0"/>
          <w:sz w:val="21"/>
        </w:rPr>
        <w:t>（二）管理体系</w:t>
      </w:r>
    </w:p>
    <w:p>
      <w:pPr>
        <w:jc w:val="left"/>
      </w:pPr>
      <w:r>
        <w:rPr>
          <w:rFonts w:ascii="等线" w:hAnsi="等线" w:eastAsia="等线"/>
          <w:b w:val="0"/>
          <w:sz w:val="21"/>
        </w:rPr>
        <w:t>1. 内部监督机制</w:t>
      </w:r>
    </w:p>
    <w:p>
      <w:pPr>
        <w:jc w:val="left"/>
      </w:pPr>
      <w:r>
        <w:rPr>
          <w:rFonts w:ascii="等线" w:hAnsi="等线" w:eastAsia="等线"/>
          <w:b w:val="0"/>
          <w:sz w:val="21"/>
        </w:rPr>
        <w:t>2. 我们建立了专门的合规部门，负责监督和审查与童工相关的政策执行情况。该部门定期对银行的各个运营点进行检查，每年至少进行</w:t>
      </w:r>
      <w:r>
        <w:rPr>
          <w:rFonts w:ascii="等线" w:hAnsi="等线" w:eastAsia="等线"/>
          <w:b w:val="0"/>
          <w:sz w:val="21"/>
          <w:highlight w:val="yellow"/>
        </w:rPr>
        <w:t>[X]</w:t>
      </w:r>
      <w:r>
        <w:rPr>
          <w:rFonts w:ascii="等线" w:hAnsi="等线" w:eastAsia="等线"/>
          <w:b w:val="0"/>
          <w:sz w:val="21"/>
        </w:rPr>
        <w:t>次全面的童工政策合规审查。每次审查涵盖了银行所有的办公场所、业务部门以及与业务相关的设施。</w:t>
      </w:r>
    </w:p>
    <w:p>
      <w:pPr>
        <w:jc w:val="left"/>
      </w:pPr>
      <w:r>
        <w:rPr>
          <w:rFonts w:ascii="等线" w:hAnsi="等线" w:eastAsia="等线"/>
          <w:b w:val="0"/>
          <w:sz w:val="21"/>
        </w:rPr>
        <w:t>3. 为了确保审查的有效性，我们采用了标准化的审查流程和检查表。检查表包含了与童工相关的各个方面，如员工招聘流程中的年龄验证、工作环境中是否存在疑似童工的情况等。在审查过程中，合规部门的工作人员会与各运营点的人力资源部门、业务部门负责人等进行深入沟通，以获取准确的信息。</w:t>
      </w:r>
    </w:p>
    <w:p>
      <w:pPr>
        <w:jc w:val="left"/>
      </w:pPr>
      <w:r>
        <w:rPr>
          <w:rFonts w:ascii="等线" w:hAnsi="等线" w:eastAsia="等线"/>
          <w:b w:val="0"/>
          <w:sz w:val="21"/>
        </w:rPr>
        <w:t>4. 培训与意识提升</w:t>
      </w:r>
    </w:p>
    <w:p>
      <w:pPr>
        <w:jc w:val="left"/>
      </w:pPr>
      <w:r>
        <w:rPr>
          <w:rFonts w:ascii="等线" w:hAnsi="等线" w:eastAsia="等线"/>
          <w:b w:val="0"/>
          <w:sz w:val="21"/>
        </w:rPr>
        <w:t>5. 我们为员工提供关于童工问题的培训，以提高员工对童工问题的认识和敏感度。每年，我们会组织</w:t>
      </w:r>
      <w:r>
        <w:rPr>
          <w:rFonts w:ascii="等线" w:hAnsi="等线" w:eastAsia="等线"/>
          <w:b w:val="0"/>
          <w:sz w:val="21"/>
          <w:highlight w:val="yellow"/>
        </w:rPr>
        <w:t>[X]</w:t>
      </w:r>
      <w:r>
        <w:rPr>
          <w:rFonts w:ascii="等线" w:hAnsi="等线" w:eastAsia="等线"/>
          <w:b w:val="0"/>
          <w:sz w:val="21"/>
        </w:rPr>
        <w:t>次线上或线下的培训课程，覆盖银行员工总数的</w:t>
      </w:r>
      <w:r>
        <w:rPr>
          <w:rFonts w:ascii="等线" w:hAnsi="等线" w:eastAsia="等线"/>
          <w:b w:val="0"/>
          <w:sz w:val="21"/>
          <w:highlight w:val="yellow"/>
        </w:rPr>
        <w:t>[X]</w:t>
      </w:r>
      <w:r>
        <w:rPr>
          <w:rFonts w:ascii="等线" w:hAnsi="等线" w:eastAsia="等线"/>
          <w:b w:val="0"/>
          <w:sz w:val="21"/>
        </w:rPr>
        <w:t>%以上。培训内容包括国际童工标准、银行的童工政策、如何识别和处理童工相关的问题等。</w:t>
      </w:r>
    </w:p>
    <w:p>
      <w:pPr>
        <w:jc w:val="left"/>
      </w:pPr>
      <w:r>
        <w:rPr>
          <w:rFonts w:ascii="等线" w:hAnsi="等线" w:eastAsia="等线"/>
          <w:b w:val="0"/>
          <w:sz w:val="21"/>
        </w:rPr>
        <w:t>6. 针对新员工，我们将童工政策纳入入职培训的重要内容，确保新员工在入职时就了解银行在童工问题上的立场和要求。</w:t>
      </w:r>
    </w:p>
    <w:p>
      <w:pPr>
        <w:jc w:val="left"/>
      </w:pPr>
      <w:r>
        <w:rPr>
          <w:rFonts w:ascii="等线" w:hAnsi="等线" w:eastAsia="等线"/>
          <w:b w:val="0"/>
          <w:sz w:val="21"/>
        </w:rPr>
        <w:t>7. 供应商管理</w:t>
      </w:r>
    </w:p>
    <w:p>
      <w:pPr>
        <w:jc w:val="left"/>
      </w:pPr>
      <w:r>
        <w:rPr>
          <w:rFonts w:ascii="等线" w:hAnsi="等线" w:eastAsia="等线"/>
          <w:b w:val="0"/>
          <w:sz w:val="21"/>
        </w:rPr>
        <w:t>8. 在供应商选择和评估过程中，童工政策是重要的考量因素之一。我们要求供应商签署承诺书，承诺在其运营过程中不使用童工。对于新供应商，我们会进行严格的尽职调查，其中包括对供应商的劳动用工情况进行审查，确保其不存在童工使用的风险。每年，我们会对</w:t>
      </w:r>
      <w:r>
        <w:rPr>
          <w:rFonts w:ascii="等线" w:hAnsi="等线" w:eastAsia="等线"/>
          <w:b w:val="0"/>
          <w:sz w:val="21"/>
          <w:highlight w:val="yellow"/>
        </w:rPr>
        <w:t>[X]</w:t>
      </w:r>
      <w:r>
        <w:rPr>
          <w:rFonts w:ascii="等线" w:hAnsi="等线" w:eastAsia="等线"/>
          <w:b w:val="0"/>
          <w:sz w:val="21"/>
        </w:rPr>
        <w:t>%以上的供应商进行童工政策相关的复查，以确保其持续遵守我们的要求。</w:t>
      </w:r>
    </w:p>
    <w:p>
      <w:pPr>
        <w:jc w:val="left"/>
      </w:pPr>
      <w:r>
        <w:rPr>
          <w:rFonts w:ascii="等线" w:hAnsi="等线" w:eastAsia="等线"/>
          <w:b w:val="0"/>
          <w:sz w:val="21"/>
        </w:rPr>
        <w:t>二、议题披露项 - 披露项408 - 1具有重大童工事件风险的运营点和供应商</w:t>
      </w:r>
    </w:p>
    <w:p>
      <w:pPr>
        <w:jc w:val="left"/>
      </w:pPr>
      <w:r>
        <w:rPr>
          <w:rFonts w:ascii="等线" w:hAnsi="等线" w:eastAsia="等线"/>
          <w:b w:val="0"/>
          <w:sz w:val="21"/>
        </w:rPr>
        <w:t>（一）自身运营点</w:t>
      </w:r>
    </w:p>
    <w:p>
      <w:pPr>
        <w:jc w:val="left"/>
      </w:pPr>
      <w:r>
        <w:rPr>
          <w:rFonts w:ascii="等线" w:hAnsi="等线" w:eastAsia="等线"/>
          <w:b w:val="0"/>
          <w:sz w:val="21"/>
        </w:rPr>
        <w:t>1. 地理分布评估</w:t>
      </w:r>
    </w:p>
    <w:p>
      <w:pPr>
        <w:jc w:val="left"/>
      </w:pPr>
      <w:r>
        <w:rPr>
          <w:rFonts w:ascii="等线" w:hAnsi="等线" w:eastAsia="等线"/>
          <w:b w:val="0"/>
          <w:sz w:val="21"/>
        </w:rPr>
        <w:t>2. 我们对全球范围内的运营点进行了童工风险评估。根据国际劳工组织发布的童工数据以及当地的社会经济状况，我们确定了一些可能存在较高童工事件风险的地区。例如，在</w:t>
      </w:r>
      <w:r>
        <w:rPr>
          <w:rFonts w:ascii="等线" w:hAnsi="等线" w:eastAsia="等线"/>
          <w:b w:val="0"/>
          <w:sz w:val="21"/>
          <w:highlight w:val="yellow"/>
        </w:rPr>
        <w:t>[国家/地区名称1]</w:t>
      </w:r>
      <w:r>
        <w:rPr>
          <w:rFonts w:ascii="等线" w:hAnsi="等线" w:eastAsia="等线"/>
          <w:b w:val="0"/>
          <w:sz w:val="21"/>
        </w:rPr>
        <w:t>、</w:t>
      </w:r>
      <w:r>
        <w:rPr>
          <w:rFonts w:ascii="等线" w:hAnsi="等线" w:eastAsia="等线"/>
          <w:b w:val="0"/>
          <w:sz w:val="21"/>
          <w:highlight w:val="yellow"/>
        </w:rPr>
        <w:t>[国家/地区名称2]</w:t>
      </w:r>
      <w:r>
        <w:rPr>
          <w:rFonts w:ascii="等线" w:hAnsi="等线" w:eastAsia="等线"/>
          <w:b w:val="0"/>
          <w:sz w:val="21"/>
        </w:rPr>
        <w:t>等发展中国家的部分地区，由于当地经济发展水平相对较低，教育资源相对匮乏，可能存在童工风险。然而，经过我们对这些地区运营点的深入审查，在过去</w:t>
      </w:r>
      <w:r>
        <w:rPr>
          <w:rFonts w:ascii="等线" w:hAnsi="等线" w:eastAsia="等线"/>
          <w:b w:val="0"/>
          <w:sz w:val="21"/>
          <w:highlight w:val="yellow"/>
        </w:rPr>
        <w:t>[X]</w:t>
      </w:r>
      <w:r>
        <w:rPr>
          <w:rFonts w:ascii="等线" w:hAnsi="等线" w:eastAsia="等线"/>
          <w:b w:val="0"/>
          <w:sz w:val="21"/>
        </w:rPr>
        <w:t>年中，尚未发现本银行自身运营点存在童工使用的情况。</w:t>
      </w:r>
    </w:p>
    <w:p>
      <w:pPr>
        <w:jc w:val="left"/>
      </w:pPr>
      <w:r>
        <w:rPr>
          <w:rFonts w:ascii="等线" w:hAnsi="等线" w:eastAsia="等线"/>
          <w:b w:val="0"/>
          <w:sz w:val="21"/>
        </w:rPr>
        <w:t>3. 我们在这些高风险地区的运营点采取了额外的预防措施。例如，在招聘过程中，加强对求职者年龄的核实，除了查看身份证件外，还会通过与当地政府部门或教育机构进行交叉验证等方式，确保招聘的员工年龄符合法定工作年龄要求。同时，我们在当地运营点内部设立了举报机制，鼓励员工举报任何可能涉及童工的情况，一旦接到举报，会在</w:t>
      </w:r>
      <w:r>
        <w:rPr>
          <w:rFonts w:ascii="等线" w:hAnsi="等线" w:eastAsia="等线"/>
          <w:b w:val="0"/>
          <w:sz w:val="21"/>
          <w:highlight w:val="yellow"/>
        </w:rPr>
        <w:t>[X]</w:t>
      </w:r>
      <w:r>
        <w:rPr>
          <w:rFonts w:ascii="等线" w:hAnsi="等线" w:eastAsia="等线"/>
          <w:b w:val="0"/>
          <w:sz w:val="21"/>
        </w:rPr>
        <w:t>个工作日内启动调查程序。</w:t>
      </w:r>
    </w:p>
    <w:p>
      <w:pPr>
        <w:jc w:val="left"/>
      </w:pPr>
      <w:r>
        <w:rPr>
          <w:rFonts w:ascii="等线" w:hAnsi="等线" w:eastAsia="等线"/>
          <w:b w:val="0"/>
          <w:sz w:val="21"/>
        </w:rPr>
        <w:t>4. 业务部门分析</w:t>
      </w:r>
    </w:p>
    <w:p>
      <w:pPr>
        <w:jc w:val="left"/>
      </w:pPr>
      <w:r>
        <w:rPr>
          <w:rFonts w:ascii="等线" w:hAnsi="等线" w:eastAsia="等线"/>
          <w:b w:val="0"/>
          <w:sz w:val="21"/>
        </w:rPr>
        <w:t>5. 从业务部门角度来看，我们重点关注了一些可能与童工风险相关的业务领域，如后勤服务、保安服务等。这些部门可能存在外包业务，而外包供应商的劳动用工情况可能存在风险。我们对这些业务部门的外包合同进行了梳理，明确要求外包供应商遵守我们的童工政策。在过去</w:t>
      </w:r>
      <w:r>
        <w:rPr>
          <w:rFonts w:ascii="等线" w:hAnsi="等线" w:eastAsia="等线"/>
          <w:b w:val="0"/>
          <w:sz w:val="21"/>
          <w:highlight w:val="yellow"/>
        </w:rPr>
        <w:t>[X]</w:t>
      </w:r>
      <w:r>
        <w:rPr>
          <w:rFonts w:ascii="等线" w:hAnsi="等线" w:eastAsia="等线"/>
          <w:b w:val="0"/>
          <w:sz w:val="21"/>
        </w:rPr>
        <w:t>年中，我们对这些业务部门涉及的外包供应商进行了</w:t>
      </w:r>
      <w:r>
        <w:rPr>
          <w:rFonts w:ascii="等线" w:hAnsi="等线" w:eastAsia="等线"/>
          <w:b w:val="0"/>
          <w:sz w:val="21"/>
          <w:highlight w:val="yellow"/>
        </w:rPr>
        <w:t>[X]</w:t>
      </w:r>
      <w:r>
        <w:rPr>
          <w:rFonts w:ascii="等线" w:hAnsi="等线" w:eastAsia="等线"/>
          <w:b w:val="0"/>
          <w:sz w:val="21"/>
        </w:rPr>
        <w:t>次突击检查，未发现有童工使用的情况。</w:t>
      </w:r>
    </w:p>
    <w:p>
      <w:pPr>
        <w:jc w:val="left"/>
      </w:pPr>
      <w:r>
        <w:rPr>
          <w:rFonts w:ascii="等线" w:hAnsi="等线" w:eastAsia="等线"/>
          <w:b w:val="0"/>
          <w:sz w:val="21"/>
        </w:rPr>
        <w:t>（二）供应商</w:t>
      </w:r>
    </w:p>
    <w:p>
      <w:pPr>
        <w:jc w:val="left"/>
      </w:pPr>
      <w:r>
        <w:rPr>
          <w:rFonts w:ascii="等线" w:hAnsi="等线" w:eastAsia="等线"/>
          <w:b w:val="0"/>
          <w:sz w:val="21"/>
        </w:rPr>
        <w:t>1. 行业风险评估</w:t>
      </w:r>
    </w:p>
    <w:p>
      <w:pPr>
        <w:jc w:val="left"/>
      </w:pPr>
      <w:r>
        <w:rPr>
          <w:rFonts w:ascii="等线" w:hAnsi="等线" w:eastAsia="等线"/>
          <w:b w:val="0"/>
          <w:sz w:val="21"/>
        </w:rPr>
        <w:t>2. 我们的供应商来自不同的行业，其中一些行业，如制造业、农业等，在全球范围内被认为是童工风险较高的行业。我们对这些行业的供应商进行了重点关注。通过与行业研究机构合作，获取了这些行业童工风险的相关数据。例如，在某些农业产区，可能存在家庭式的童工使用情况。我们对与农业相关的供应商进行了详细的调查，要求他们提供员工年龄结构数据、劳动用工管理流程等信息。</w:t>
      </w:r>
    </w:p>
    <w:p>
      <w:pPr>
        <w:jc w:val="left"/>
      </w:pPr>
      <w:r>
        <w:rPr>
          <w:rFonts w:ascii="等线" w:hAnsi="等线" w:eastAsia="等线"/>
          <w:b w:val="0"/>
          <w:sz w:val="21"/>
        </w:rPr>
        <w:t>3. 在过去</w:t>
      </w:r>
      <w:r>
        <w:rPr>
          <w:rFonts w:ascii="等线" w:hAnsi="等线" w:eastAsia="等线"/>
          <w:b w:val="0"/>
          <w:sz w:val="21"/>
          <w:highlight w:val="yellow"/>
        </w:rPr>
        <w:t>[X]</w:t>
      </w:r>
      <w:r>
        <w:rPr>
          <w:rFonts w:ascii="等线" w:hAnsi="等线" w:eastAsia="等线"/>
          <w:b w:val="0"/>
          <w:sz w:val="21"/>
        </w:rPr>
        <w:t>年中，我们发现有</w:t>
      </w:r>
      <w:r>
        <w:rPr>
          <w:rFonts w:ascii="等线" w:hAnsi="等线" w:eastAsia="等线"/>
          <w:b w:val="0"/>
          <w:sz w:val="21"/>
          <w:highlight w:val="yellow"/>
        </w:rPr>
        <w:t>[X]</w:t>
      </w:r>
      <w:r>
        <w:rPr>
          <w:rFonts w:ascii="等线" w:hAnsi="等线" w:eastAsia="等线"/>
          <w:b w:val="0"/>
          <w:sz w:val="21"/>
        </w:rPr>
        <w:t>家供应商存在童工风险的潜在迹象。针对这些供应商，我们立即启动了整改程序，要求他们在</w:t>
      </w:r>
      <w:r>
        <w:rPr>
          <w:rFonts w:ascii="等线" w:hAnsi="等线" w:eastAsia="等线"/>
          <w:b w:val="0"/>
          <w:sz w:val="21"/>
          <w:highlight w:val="yellow"/>
        </w:rPr>
        <w:t>[X]</w:t>
      </w:r>
      <w:r>
        <w:rPr>
          <w:rFonts w:ascii="等线" w:hAnsi="等线" w:eastAsia="等线"/>
          <w:b w:val="0"/>
          <w:sz w:val="21"/>
        </w:rPr>
        <w:t>个月内提交整改计划，并在规定时间内完成整改。经过复查，其中</w:t>
      </w:r>
      <w:r>
        <w:rPr>
          <w:rFonts w:ascii="等线" w:hAnsi="等线" w:eastAsia="等线"/>
          <w:b w:val="0"/>
          <w:sz w:val="21"/>
          <w:highlight w:val="yellow"/>
        </w:rPr>
        <w:t>[X]</w:t>
      </w:r>
      <w:r>
        <w:rPr>
          <w:rFonts w:ascii="等线" w:hAnsi="等线" w:eastAsia="等线"/>
          <w:b w:val="0"/>
          <w:sz w:val="21"/>
        </w:rPr>
        <w:t>%的供应商成功整改，消除了童工风险，对于未能有效整改的供应商，我们终止了与他们的合作关系。</w:t>
      </w:r>
    </w:p>
    <w:p>
      <w:pPr>
        <w:jc w:val="left"/>
      </w:pPr>
      <w:r>
        <w:rPr>
          <w:rFonts w:ascii="等线" w:hAnsi="等线" w:eastAsia="等线"/>
          <w:b w:val="0"/>
          <w:sz w:val="21"/>
        </w:rPr>
        <w:t>4. 供应商规模与童工风险</w:t>
      </w:r>
    </w:p>
    <w:p>
      <w:pPr>
        <w:jc w:val="left"/>
      </w:pPr>
      <w:r>
        <w:rPr>
          <w:rFonts w:ascii="等线" w:hAnsi="等线" w:eastAsia="等线"/>
          <w:b w:val="0"/>
          <w:sz w:val="21"/>
        </w:rPr>
        <w:t>5. 我们还分析了供应商规模与童工风险之间的关系。一般来说，小型供应商可能由于管理体系不完善，存在较高的童工风险。我们对小型供应商（员工人数在</w:t>
      </w:r>
      <w:r>
        <w:rPr>
          <w:rFonts w:ascii="等线" w:hAnsi="等线" w:eastAsia="等线"/>
          <w:b w:val="0"/>
          <w:sz w:val="21"/>
          <w:highlight w:val="yellow"/>
        </w:rPr>
        <w:t>[X]</w:t>
      </w:r>
      <w:r>
        <w:rPr>
          <w:rFonts w:ascii="等线" w:hAnsi="等线" w:eastAsia="等线"/>
          <w:b w:val="0"/>
          <w:sz w:val="21"/>
        </w:rPr>
        <w:t>人以下）进行了更为频繁的审查。在我们的供应商体系中，小型供应商占比为</w:t>
      </w:r>
      <w:r>
        <w:rPr>
          <w:rFonts w:ascii="等线" w:hAnsi="等线" w:eastAsia="等线"/>
          <w:b w:val="0"/>
          <w:sz w:val="21"/>
          <w:highlight w:val="yellow"/>
        </w:rPr>
        <w:t>[X]</w:t>
      </w:r>
      <w:r>
        <w:rPr>
          <w:rFonts w:ascii="等线" w:hAnsi="等线" w:eastAsia="等线"/>
          <w:b w:val="0"/>
          <w:sz w:val="21"/>
        </w:rPr>
        <w:t>%，过去</w:t>
      </w:r>
      <w:r>
        <w:rPr>
          <w:rFonts w:ascii="等线" w:hAnsi="等线" w:eastAsia="等线"/>
          <w:b w:val="0"/>
          <w:sz w:val="21"/>
          <w:highlight w:val="yellow"/>
        </w:rPr>
        <w:t>[X]</w:t>
      </w:r>
      <w:r>
        <w:rPr>
          <w:rFonts w:ascii="等线" w:hAnsi="等线" w:eastAsia="等线"/>
          <w:b w:val="0"/>
          <w:sz w:val="21"/>
        </w:rPr>
        <w:t>年中，针对这些小型供应商进行的童工政策审查次数达到了</w:t>
      </w:r>
      <w:r>
        <w:rPr>
          <w:rFonts w:ascii="等线" w:hAnsi="等线" w:eastAsia="等线"/>
          <w:b w:val="0"/>
          <w:sz w:val="21"/>
          <w:highlight w:val="yellow"/>
        </w:rPr>
        <w:t>[X]</w:t>
      </w:r>
      <w:r>
        <w:rPr>
          <w:rFonts w:ascii="等线" w:hAnsi="等线" w:eastAsia="等线"/>
          <w:b w:val="0"/>
          <w:sz w:val="21"/>
        </w:rPr>
        <w:t>次，发现并解决了</w:t>
      </w:r>
      <w:r>
        <w:rPr>
          <w:rFonts w:ascii="等线" w:hAnsi="等线" w:eastAsia="等线"/>
          <w:b w:val="0"/>
          <w:sz w:val="21"/>
          <w:highlight w:val="yellow"/>
        </w:rPr>
        <w:t>[X]</w:t>
      </w:r>
      <w:r>
        <w:rPr>
          <w:rFonts w:ascii="等线" w:hAnsi="等线" w:eastAsia="等线"/>
          <w:b w:val="0"/>
          <w:sz w:val="21"/>
        </w:rPr>
        <w:t>起可能存在的童工风险事件。通过这种有针对性的管理措施，我们不断降低供应商体系中的童工风险。</w:t>
      </w:r>
    </w:p>
    <w:p>
      <w:pPr>
        <w:pStyle w:val="Heading2"/>
      </w:pPr>
      <w:r>
        <w:rPr>
          <w:rFonts w:ascii="等线" w:hAnsi="等线" w:eastAsia="等线"/>
          <w:color w:val="000000"/>
          <w:sz w:val="32"/>
        </w:rPr>
        <w:t>强制劳动或强迫劳动</w:t>
      </w:r>
    </w:p>
    <w:p>
      <w:pPr>
        <w:jc w:val="left"/>
      </w:pPr>
      <w:r>
        <w:rPr>
          <w:rFonts w:ascii="等线" w:hAnsi="等线" w:eastAsia="等线"/>
          <w:b w:val="0"/>
          <w:sz w:val="21"/>
        </w:rPr>
        <w:t>一、政策与管理体系</w:t>
      </w:r>
    </w:p>
    <w:p>
      <w:pPr>
        <w:jc w:val="left"/>
      </w:pPr>
      <w:r>
        <w:rPr>
          <w:rFonts w:ascii="等线" w:hAnsi="等线" w:eastAsia="等线"/>
          <w:b w:val="0"/>
          <w:sz w:val="21"/>
        </w:rPr>
        <w:t>本银行坚决反对强制劳动或强迫劳动，秉持着国际劳工组织（ILO）相关公约的原则，建立了全面的内部政策框架。明确规定在所有业务运营和供应链管理中，严禁任何形式的强制劳动或强迫劳动行为。</w:t>
      </w:r>
    </w:p>
    <w:p>
      <w:pPr>
        <w:jc w:val="left"/>
      </w:pPr>
      <w:r>
        <w:rPr>
          <w:rFonts w:ascii="等线" w:hAnsi="等线" w:eastAsia="等线"/>
          <w:b w:val="0"/>
          <w:sz w:val="21"/>
        </w:rPr>
        <w:t>为确保政策的有效执行，银行设立了专门的监督管理团队，成员包括人力资源专家、法务人员以及内部审计师等。该团队定期对全行各部门及分支机构进行审查，每年审查覆盖范围达到100%。</w:t>
      </w:r>
    </w:p>
    <w:p>
      <w:pPr>
        <w:jc w:val="left"/>
      </w:pPr>
      <w:r>
        <w:rPr>
          <w:rFonts w:ascii="等线" w:hAnsi="等线" w:eastAsia="等线"/>
          <w:b w:val="0"/>
          <w:sz w:val="21"/>
        </w:rPr>
        <w:t>二、员工招聘与雇佣</w:t>
      </w:r>
    </w:p>
    <w:p>
      <w:pPr>
        <w:jc w:val="left"/>
      </w:pPr>
      <w:r>
        <w:rPr>
          <w:rFonts w:ascii="等线" w:hAnsi="等线" w:eastAsia="等线"/>
          <w:b w:val="0"/>
          <w:sz w:val="21"/>
        </w:rPr>
        <w:t>1. 招聘流程透明化</w:t>
      </w:r>
    </w:p>
    <w:p>
      <w:pPr>
        <w:jc w:val="left"/>
      </w:pPr>
      <w:r>
        <w:rPr>
          <w:rFonts w:ascii="等线" w:hAnsi="等线" w:eastAsia="等线"/>
          <w:b w:val="0"/>
          <w:sz w:val="21"/>
        </w:rPr>
        <w:t>2. 在招聘过程中，所有职位信息均公开透明地发布在官方网站以及国际知名招聘平台上，详细说明职位要求、工作内容、薪酬福利等信息。每年招聘岗位数量众多，平均每年发布的职位数量超过</w:t>
      </w:r>
      <w:r>
        <w:rPr>
          <w:rFonts w:ascii="等线" w:hAnsi="等线" w:eastAsia="等线"/>
          <w:b w:val="0"/>
          <w:sz w:val="21"/>
          <w:highlight w:val="yellow"/>
        </w:rPr>
        <w:t>[X]</w:t>
      </w:r>
      <w:r>
        <w:rPr>
          <w:rFonts w:ascii="等线" w:hAnsi="等线" w:eastAsia="等线"/>
          <w:b w:val="0"/>
          <w:sz w:val="21"/>
        </w:rPr>
        <w:t>个，吸引了来自全球各地的求职者。</w:t>
      </w:r>
    </w:p>
    <w:p>
      <w:pPr>
        <w:jc w:val="left"/>
      </w:pPr>
      <w:r>
        <w:rPr>
          <w:rFonts w:ascii="等线" w:hAnsi="等线" w:eastAsia="等线"/>
          <w:b w:val="0"/>
          <w:sz w:val="21"/>
        </w:rPr>
        <w:t>3. 招聘过程严格遵循公平、公正、自愿的原则。求职者在应聘过程中的参与完全基于自身意愿，不存在任何形式的胁迫或欺骗行为。从收到简历到最终录用的各个环节，均有详细的记录可查，每年招聘过程中的记录文档数量达到数千份。</w:t>
      </w:r>
    </w:p>
    <w:p>
      <w:pPr>
        <w:jc w:val="left"/>
      </w:pPr>
      <w:r>
        <w:rPr>
          <w:rFonts w:ascii="等线" w:hAnsi="等线" w:eastAsia="等线"/>
          <w:b w:val="0"/>
          <w:sz w:val="21"/>
        </w:rPr>
        <w:t>4. 劳动合同保障</w:t>
      </w:r>
    </w:p>
    <w:p>
      <w:pPr>
        <w:jc w:val="left"/>
      </w:pPr>
      <w:r>
        <w:rPr>
          <w:rFonts w:ascii="等线" w:hAnsi="等线" w:eastAsia="等线"/>
          <w:b w:val="0"/>
          <w:sz w:val="21"/>
        </w:rPr>
        <w:t>5. 与员工签订的劳动合同明确规定了双方的权利和义务，包括工作时间、休息休假、薪酬待遇等。全行员工劳动合同签订率达到100%。</w:t>
      </w:r>
    </w:p>
    <w:p>
      <w:pPr>
        <w:jc w:val="left"/>
      </w:pPr>
      <w:r>
        <w:rPr>
          <w:rFonts w:ascii="等线" w:hAnsi="等线" w:eastAsia="等线"/>
          <w:b w:val="0"/>
          <w:sz w:val="21"/>
        </w:rPr>
        <w:t>6. 员工的工作时间严格遵守当地法律法规，平均每周工作时长不超过</w:t>
      </w:r>
      <w:r>
        <w:rPr>
          <w:rFonts w:ascii="等线" w:hAnsi="等线" w:eastAsia="等线"/>
          <w:b w:val="0"/>
          <w:sz w:val="21"/>
          <w:highlight w:val="yellow"/>
        </w:rPr>
        <w:t>[X]</w:t>
      </w:r>
      <w:r>
        <w:rPr>
          <w:rFonts w:ascii="等线" w:hAnsi="等线" w:eastAsia="等线"/>
          <w:b w:val="0"/>
          <w:sz w:val="21"/>
        </w:rPr>
        <w:t>小时，加班遵循员工自愿原则，并按照法律规定支付加班费用。</w:t>
      </w:r>
    </w:p>
    <w:p>
      <w:pPr>
        <w:jc w:val="left"/>
      </w:pPr>
      <w:r>
        <w:rPr>
          <w:rFonts w:ascii="等线" w:hAnsi="等线" w:eastAsia="等线"/>
          <w:b w:val="0"/>
          <w:sz w:val="21"/>
        </w:rPr>
        <w:t>三、员工培训与发展</w:t>
      </w:r>
    </w:p>
    <w:p>
      <w:pPr>
        <w:jc w:val="left"/>
      </w:pPr>
      <w:r>
        <w:rPr>
          <w:rFonts w:ascii="等线" w:hAnsi="等线" w:eastAsia="等线"/>
          <w:b w:val="0"/>
          <w:sz w:val="21"/>
        </w:rPr>
        <w:t>1. 培训机会均等</w:t>
      </w:r>
    </w:p>
    <w:p>
      <w:pPr>
        <w:jc w:val="left"/>
      </w:pPr>
      <w:r>
        <w:rPr>
          <w:rFonts w:ascii="等线" w:hAnsi="等线" w:eastAsia="等线"/>
          <w:b w:val="0"/>
          <w:sz w:val="21"/>
        </w:rPr>
        <w:t>2. 为员工提供广泛的培训和发展机会，所有员工都有平等的权利参与各类培训项目。每年投入的培训资金高达</w:t>
      </w:r>
      <w:r>
        <w:rPr>
          <w:rFonts w:ascii="等线" w:hAnsi="等线" w:eastAsia="等线"/>
          <w:b w:val="0"/>
          <w:sz w:val="21"/>
          <w:highlight w:val="yellow"/>
        </w:rPr>
        <w:t>[X]</w:t>
      </w:r>
      <w:r>
        <w:rPr>
          <w:rFonts w:ascii="等线" w:hAnsi="等线" w:eastAsia="等线"/>
          <w:b w:val="0"/>
          <w:sz w:val="21"/>
        </w:rPr>
        <w:t>美元，用于开展涵盖业务技能、领导力、合规等多方面的培训课程。</w:t>
      </w:r>
    </w:p>
    <w:p>
      <w:pPr>
        <w:jc w:val="left"/>
      </w:pPr>
      <w:r>
        <w:rPr>
          <w:rFonts w:ascii="等线" w:hAnsi="等线" w:eastAsia="等线"/>
          <w:b w:val="0"/>
          <w:sz w:val="21"/>
        </w:rPr>
        <w:t>3. 每年参与培训的员工比例平均达到</w:t>
      </w:r>
      <w:r>
        <w:rPr>
          <w:rFonts w:ascii="等线" w:hAnsi="等线" w:eastAsia="等线"/>
          <w:b w:val="0"/>
          <w:sz w:val="21"/>
          <w:highlight w:val="yellow"/>
        </w:rPr>
        <w:t>[X]</w:t>
      </w:r>
      <w:r>
        <w:rPr>
          <w:rFonts w:ascii="等线" w:hAnsi="等线" w:eastAsia="等线"/>
          <w:b w:val="0"/>
          <w:sz w:val="21"/>
        </w:rPr>
        <w:t>%以上，确保员工能够不断提升自身能力，在职业发展道路上有更多的选择，而不是因为能力不足而面临被强制劳动的风险。</w:t>
      </w:r>
    </w:p>
    <w:p>
      <w:pPr>
        <w:jc w:val="left"/>
      </w:pPr>
      <w:r>
        <w:rPr>
          <w:rFonts w:ascii="等线" w:hAnsi="等线" w:eastAsia="等线"/>
          <w:b w:val="0"/>
          <w:sz w:val="21"/>
        </w:rPr>
        <w:t>4. 职业发展通道</w:t>
      </w:r>
    </w:p>
    <w:p>
      <w:pPr>
        <w:jc w:val="left"/>
      </w:pPr>
      <w:r>
        <w:rPr>
          <w:rFonts w:ascii="等线" w:hAnsi="等线" w:eastAsia="等线"/>
          <w:b w:val="0"/>
          <w:sz w:val="21"/>
        </w:rPr>
        <w:t>5. 建立了多元化的职业发展通道，包括管理序列、专业技术序列等。员工可以根据自身的兴趣和能力选择适合自己的发展路径，每年内部晋升的员工数量占总员工数的</w:t>
      </w:r>
      <w:r>
        <w:rPr>
          <w:rFonts w:ascii="等线" w:hAnsi="等线" w:eastAsia="等线"/>
          <w:b w:val="0"/>
          <w:sz w:val="21"/>
          <w:highlight w:val="yellow"/>
        </w:rPr>
        <w:t>[X]</w:t>
      </w:r>
      <w:r>
        <w:rPr>
          <w:rFonts w:ascii="等线" w:hAnsi="等线" w:eastAsia="等线"/>
          <w:b w:val="0"/>
          <w:sz w:val="21"/>
        </w:rPr>
        <w:t>%左右，充分体现了员工在职业发展上的自主性。</w:t>
      </w:r>
    </w:p>
    <w:p>
      <w:pPr>
        <w:jc w:val="left"/>
      </w:pPr>
      <w:r>
        <w:rPr>
          <w:rFonts w:ascii="等线" w:hAnsi="等线" w:eastAsia="等线"/>
          <w:b w:val="0"/>
          <w:sz w:val="21"/>
        </w:rPr>
        <w:t>四、供应链管理</w:t>
      </w:r>
    </w:p>
    <w:p>
      <w:pPr>
        <w:jc w:val="left"/>
      </w:pPr>
      <w:r>
        <w:rPr>
          <w:rFonts w:ascii="等线" w:hAnsi="等线" w:eastAsia="等线"/>
          <w:b w:val="0"/>
          <w:sz w:val="21"/>
        </w:rPr>
        <w:t>1. 供应商筛选</w:t>
      </w:r>
    </w:p>
    <w:p>
      <w:pPr>
        <w:jc w:val="left"/>
      </w:pPr>
      <w:r>
        <w:rPr>
          <w:rFonts w:ascii="等线" w:hAnsi="等线" w:eastAsia="等线"/>
          <w:b w:val="0"/>
          <w:sz w:val="21"/>
        </w:rPr>
        <w:t>2. 在选择供应商时，将其是否遵守禁止强制劳动或强迫劳动的规定作为重要的筛选标准之一。每年对新供应商进行审核的比例达到100%，对现有供应商的抽检比例不低于</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3. 要求供应商提供遵守相关劳动法规的承诺书，并定期进行实地检查。一旦发现供应商存在强制劳动或强迫劳动的行为，将立即终止合作关系。</w:t>
      </w:r>
    </w:p>
    <w:p>
      <w:pPr>
        <w:jc w:val="left"/>
      </w:pPr>
      <w:r>
        <w:rPr>
          <w:rFonts w:ascii="等线" w:hAnsi="等线" w:eastAsia="等线"/>
          <w:b w:val="0"/>
          <w:sz w:val="21"/>
        </w:rPr>
        <w:t>4. 供应链监督</w:t>
      </w:r>
    </w:p>
    <w:p>
      <w:pPr>
        <w:jc w:val="left"/>
      </w:pPr>
      <w:r>
        <w:rPr>
          <w:rFonts w:ascii="等线" w:hAnsi="等线" w:eastAsia="等线"/>
          <w:b w:val="0"/>
          <w:sz w:val="21"/>
        </w:rPr>
        <w:t>5. 建立了供应链监督机制，通过与国际第三方审计机构合作，对供应链中的劳动权益情况进行监督。每年开展的供应链劳动权益专项审计项目数量不少于</w:t>
      </w:r>
      <w:r>
        <w:rPr>
          <w:rFonts w:ascii="等线" w:hAnsi="等线" w:eastAsia="等线"/>
          <w:b w:val="0"/>
          <w:sz w:val="21"/>
          <w:highlight w:val="yellow"/>
        </w:rPr>
        <w:t>[X]</w:t>
      </w:r>
      <w:r>
        <w:rPr>
          <w:rFonts w:ascii="等线" w:hAnsi="等线" w:eastAsia="等线"/>
          <w:b w:val="0"/>
          <w:sz w:val="21"/>
        </w:rPr>
        <w:t>个，确保整个供应链的劳动环境符合国际标准。</w:t>
      </w:r>
    </w:p>
    <w:p>
      <w:pPr>
        <w:pStyle w:val="Heading2"/>
      </w:pPr>
      <w:r>
        <w:rPr>
          <w:rFonts w:ascii="等线" w:hAnsi="等线" w:eastAsia="等线"/>
          <w:color w:val="000000"/>
          <w:sz w:val="32"/>
        </w:rPr>
        <w:t>平等对待中小企业</w:t>
      </w:r>
    </w:p>
    <w:p>
      <w:pPr>
        <w:jc w:val="left"/>
      </w:pPr>
      <w:r>
        <w:rPr>
          <w:rFonts w:ascii="等线" w:hAnsi="等线" w:eastAsia="等线"/>
          <w:b w:val="0"/>
          <w:sz w:val="21"/>
        </w:rPr>
        <w:t>一、中小企业贷款规模</w:t>
      </w:r>
    </w:p>
    <w:p>
      <w:pPr>
        <w:jc w:val="left"/>
      </w:pPr>
      <w:r>
        <w:rPr>
          <w:rFonts w:ascii="等线" w:hAnsi="等线" w:eastAsia="等线"/>
          <w:b w:val="0"/>
          <w:sz w:val="21"/>
        </w:rPr>
        <w:t>本银行致力于支持中小企业发展，在过去一年中，中小企业贷款总额达到</w:t>
      </w:r>
      <w:r>
        <w:rPr>
          <w:rFonts w:ascii="等线" w:hAnsi="等线" w:eastAsia="等线"/>
          <w:b w:val="0"/>
          <w:sz w:val="21"/>
          <w:highlight w:val="yellow"/>
        </w:rPr>
        <w:t>[X]</w:t>
      </w:r>
      <w:r>
        <w:rPr>
          <w:rFonts w:ascii="等线" w:hAnsi="等线" w:eastAsia="等线"/>
          <w:b w:val="0"/>
          <w:sz w:val="21"/>
        </w:rPr>
        <w:t>亿美元。这一数字较上一年度增长了</w:t>
      </w:r>
      <w:r>
        <w:rPr>
          <w:rFonts w:ascii="等线" w:hAnsi="等线" w:eastAsia="等线"/>
          <w:b w:val="0"/>
          <w:sz w:val="21"/>
          <w:highlight w:val="yellow"/>
        </w:rPr>
        <w:t>[X]</w:t>
      </w:r>
      <w:r>
        <w:rPr>
          <w:rFonts w:ascii="等线" w:hAnsi="等线" w:eastAsia="等线"/>
          <w:b w:val="0"/>
          <w:sz w:val="21"/>
        </w:rPr>
        <w:t>%，显示出我们对中小企业持续增长的资金支持力度。其中，新发放的中小企业贷款笔数为</w:t>
      </w:r>
      <w:r>
        <w:rPr>
          <w:rFonts w:ascii="等线" w:hAnsi="等线" w:eastAsia="等线"/>
          <w:b w:val="0"/>
          <w:sz w:val="21"/>
          <w:highlight w:val="yellow"/>
        </w:rPr>
        <w:t>[X]</w:t>
      </w:r>
      <w:r>
        <w:rPr>
          <w:rFonts w:ascii="等线" w:hAnsi="等线" w:eastAsia="等线"/>
          <w:b w:val="0"/>
          <w:sz w:val="21"/>
        </w:rPr>
        <w:t>笔，平均每笔贷款金额为</w:t>
      </w:r>
      <w:r>
        <w:rPr>
          <w:rFonts w:ascii="等线" w:hAnsi="等线" w:eastAsia="等线"/>
          <w:b w:val="0"/>
          <w:sz w:val="21"/>
          <w:highlight w:val="yellow"/>
        </w:rPr>
        <w:t>[X]</w:t>
      </w:r>
      <w:r>
        <w:rPr>
          <w:rFonts w:ascii="等线" w:hAnsi="等线" w:eastAsia="等线"/>
          <w:b w:val="0"/>
          <w:sz w:val="21"/>
        </w:rPr>
        <w:t>美元，这反映出我们的贷款服务覆盖了不同规模和资金需求的中小企业。</w:t>
      </w:r>
    </w:p>
    <w:p>
      <w:pPr>
        <w:jc w:val="left"/>
      </w:pPr>
      <w:r>
        <w:rPr>
          <w:rFonts w:ascii="等线" w:hAnsi="等线" w:eastAsia="等线"/>
          <w:b w:val="0"/>
          <w:sz w:val="21"/>
        </w:rPr>
        <w:t>二、贷款结构</w:t>
      </w:r>
    </w:p>
    <w:p>
      <w:pPr>
        <w:jc w:val="left"/>
      </w:pPr>
      <w:r>
        <w:rPr>
          <w:rFonts w:ascii="等线" w:hAnsi="等线" w:eastAsia="等线"/>
          <w:b w:val="0"/>
          <w:sz w:val="21"/>
        </w:rPr>
        <w:t>1. 按行业划分</w:t>
      </w:r>
    </w:p>
    <w:p>
      <w:pPr>
        <w:jc w:val="left"/>
      </w:pPr>
      <w:r>
        <w:rPr>
          <w:rFonts w:ascii="等线" w:hAnsi="等线" w:eastAsia="等线"/>
          <w:b w:val="0"/>
          <w:sz w:val="21"/>
        </w:rPr>
        <w:t>2. 制造业中小企业贷款占比为</w:t>
      </w:r>
      <w:r>
        <w:rPr>
          <w:rFonts w:ascii="等线" w:hAnsi="等线" w:eastAsia="等线"/>
          <w:b w:val="0"/>
          <w:sz w:val="21"/>
          <w:highlight w:val="yellow"/>
        </w:rPr>
        <w:t>[X]</w:t>
      </w:r>
      <w:r>
        <w:rPr>
          <w:rFonts w:ascii="等线" w:hAnsi="等线" w:eastAsia="等线"/>
          <w:b w:val="0"/>
          <w:sz w:val="21"/>
        </w:rPr>
        <w:t>%，金额达到</w:t>
      </w:r>
      <w:r>
        <w:rPr>
          <w:rFonts w:ascii="等线" w:hAnsi="等线" w:eastAsia="等线"/>
          <w:b w:val="0"/>
          <w:sz w:val="21"/>
          <w:highlight w:val="yellow"/>
        </w:rPr>
        <w:t>[X]</w:t>
      </w:r>
      <w:r>
        <w:rPr>
          <w:rFonts w:ascii="等线" w:hAnsi="等线" w:eastAsia="等线"/>
          <w:b w:val="0"/>
          <w:sz w:val="21"/>
        </w:rPr>
        <w:t>亿美元。这有助于推动制造业中小企业的技术升级和产能扩张。</w:t>
      </w:r>
    </w:p>
    <w:p>
      <w:pPr>
        <w:jc w:val="left"/>
      </w:pPr>
      <w:r>
        <w:rPr>
          <w:rFonts w:ascii="等线" w:hAnsi="等线" w:eastAsia="等线"/>
          <w:b w:val="0"/>
          <w:sz w:val="21"/>
        </w:rPr>
        <w:t>3. 服务业中小企业贷款占比</w:t>
      </w:r>
      <w:r>
        <w:rPr>
          <w:rFonts w:ascii="等线" w:hAnsi="等线" w:eastAsia="等线"/>
          <w:b w:val="0"/>
          <w:sz w:val="21"/>
          <w:highlight w:val="yellow"/>
        </w:rPr>
        <w:t>[X]</w:t>
      </w:r>
      <w:r>
        <w:rPr>
          <w:rFonts w:ascii="等线" w:hAnsi="等线" w:eastAsia="等线"/>
          <w:b w:val="0"/>
          <w:sz w:val="21"/>
        </w:rPr>
        <w:t>%，共计</w:t>
      </w:r>
      <w:r>
        <w:rPr>
          <w:rFonts w:ascii="等线" w:hAnsi="等线" w:eastAsia="等线"/>
          <w:b w:val="0"/>
          <w:sz w:val="21"/>
          <w:highlight w:val="yellow"/>
        </w:rPr>
        <w:t>[X]</w:t>
      </w:r>
      <w:r>
        <w:rPr>
          <w:rFonts w:ascii="等线" w:hAnsi="等线" w:eastAsia="等线"/>
          <w:b w:val="0"/>
          <w:sz w:val="21"/>
        </w:rPr>
        <w:t>亿美元。服务业中小企业在吸纳就业和促进消费方面具有重要作用，我们的贷款支持了诸如旅游、餐饮、信息技术服务等多个服务业子行业的中小企业发展。</w:t>
      </w:r>
    </w:p>
    <w:p>
      <w:pPr>
        <w:jc w:val="left"/>
      </w:pPr>
      <w:r>
        <w:rPr>
          <w:rFonts w:ascii="等线" w:hAnsi="等线" w:eastAsia="等线"/>
          <w:b w:val="0"/>
          <w:sz w:val="21"/>
        </w:rPr>
        <w:t>4. 农业相关中小企业贷款占比</w:t>
      </w:r>
      <w:r>
        <w:rPr>
          <w:rFonts w:ascii="等线" w:hAnsi="等线" w:eastAsia="等线"/>
          <w:b w:val="0"/>
          <w:sz w:val="21"/>
          <w:highlight w:val="yellow"/>
        </w:rPr>
        <w:t>[X]</w:t>
      </w:r>
      <w:r>
        <w:rPr>
          <w:rFonts w:ascii="等线" w:hAnsi="等线" w:eastAsia="等线"/>
          <w:b w:val="0"/>
          <w:sz w:val="21"/>
        </w:rPr>
        <w:t>%，金额为</w:t>
      </w:r>
      <w:r>
        <w:rPr>
          <w:rFonts w:ascii="等线" w:hAnsi="等线" w:eastAsia="等线"/>
          <w:b w:val="0"/>
          <w:sz w:val="21"/>
          <w:highlight w:val="yellow"/>
        </w:rPr>
        <w:t>[X]</w:t>
      </w:r>
      <w:r>
        <w:rPr>
          <w:rFonts w:ascii="等线" w:hAnsi="等线" w:eastAsia="等线"/>
          <w:b w:val="0"/>
          <w:sz w:val="21"/>
        </w:rPr>
        <w:t>亿美元。这些贷款助力农业中小企业进行现代化农业生产、农产品加工和销售等活动。</w:t>
      </w:r>
    </w:p>
    <w:p>
      <w:pPr>
        <w:jc w:val="left"/>
      </w:pPr>
      <w:r>
        <w:rPr>
          <w:rFonts w:ascii="等线" w:hAnsi="等线" w:eastAsia="等线"/>
          <w:b w:val="0"/>
          <w:sz w:val="21"/>
        </w:rPr>
        <w:t>5. 按企业规模（以员工数量或年营业额划分）</w:t>
      </w:r>
    </w:p>
    <w:p>
      <w:pPr>
        <w:jc w:val="left"/>
      </w:pPr>
      <w:r>
        <w:rPr>
          <w:rFonts w:ascii="等线" w:hAnsi="等线" w:eastAsia="等线"/>
          <w:b w:val="0"/>
          <w:sz w:val="21"/>
        </w:rPr>
        <w:t>6. 微型企业（如员工人数少于10人或年营业额低于</w:t>
      </w:r>
      <w:r>
        <w:rPr>
          <w:rFonts w:ascii="等线" w:hAnsi="等线" w:eastAsia="等线"/>
          <w:b w:val="0"/>
          <w:sz w:val="21"/>
          <w:highlight w:val="yellow"/>
        </w:rPr>
        <w:t>[X]</w:t>
      </w:r>
      <w:r>
        <w:rPr>
          <w:rFonts w:ascii="等线" w:hAnsi="等线" w:eastAsia="等线"/>
          <w:b w:val="0"/>
          <w:sz w:val="21"/>
        </w:rPr>
        <w:t>美元）贷款占中小企业贷款总额的</w:t>
      </w:r>
      <w:r>
        <w:rPr>
          <w:rFonts w:ascii="等线" w:hAnsi="等线" w:eastAsia="等线"/>
          <w:b w:val="0"/>
          <w:sz w:val="21"/>
          <w:highlight w:val="yellow"/>
        </w:rPr>
        <w:t>[X]</w:t>
      </w:r>
      <w:r>
        <w:rPr>
          <w:rFonts w:ascii="等线" w:hAnsi="等线" w:eastAsia="等线"/>
          <w:b w:val="0"/>
          <w:sz w:val="21"/>
        </w:rPr>
        <w:t>%，金额为</w:t>
      </w:r>
      <w:r>
        <w:rPr>
          <w:rFonts w:ascii="等线" w:hAnsi="等线" w:eastAsia="等线"/>
          <w:b w:val="0"/>
          <w:sz w:val="21"/>
          <w:highlight w:val="yellow"/>
        </w:rPr>
        <w:t>[X]</w:t>
      </w:r>
      <w:r>
        <w:rPr>
          <w:rFonts w:ascii="等线" w:hAnsi="等线" w:eastAsia="等线"/>
          <w:b w:val="0"/>
          <w:sz w:val="21"/>
        </w:rPr>
        <w:t>亿美元。我们针对微型企业的特点，简化了贷款审批流程，提供更灵活的还款方式。</w:t>
      </w:r>
    </w:p>
    <w:p>
      <w:pPr>
        <w:jc w:val="left"/>
      </w:pPr>
      <w:r>
        <w:rPr>
          <w:rFonts w:ascii="等线" w:hAnsi="等线" w:eastAsia="等线"/>
          <w:b w:val="0"/>
          <w:sz w:val="21"/>
        </w:rPr>
        <w:t>7. 小型企业（员工人数10 - 50人或年营业额在</w:t>
      </w:r>
      <w:r>
        <w:rPr>
          <w:rFonts w:ascii="等线" w:hAnsi="等线" w:eastAsia="等线"/>
          <w:b w:val="0"/>
          <w:sz w:val="21"/>
          <w:highlight w:val="yellow"/>
        </w:rPr>
        <w:t>[X]</w:t>
      </w:r>
      <w:r>
        <w:rPr>
          <w:rFonts w:ascii="等线" w:hAnsi="等线" w:eastAsia="等线"/>
          <w:b w:val="0"/>
          <w:sz w:val="21"/>
        </w:rPr>
        <w:t>-</w:t>
      </w:r>
      <w:r>
        <w:rPr>
          <w:rFonts w:ascii="等线" w:hAnsi="等线" w:eastAsia="等线"/>
          <w:b w:val="0"/>
          <w:sz w:val="21"/>
          <w:highlight w:val="yellow"/>
        </w:rPr>
        <w:t>[X]</w:t>
      </w:r>
      <w:r>
        <w:rPr>
          <w:rFonts w:ascii="等线" w:hAnsi="等线" w:eastAsia="等线"/>
          <w:b w:val="0"/>
          <w:sz w:val="21"/>
        </w:rPr>
        <w:t>美元之间）贷款占比</w:t>
      </w:r>
      <w:r>
        <w:rPr>
          <w:rFonts w:ascii="等线" w:hAnsi="等线" w:eastAsia="等线"/>
          <w:b w:val="0"/>
          <w:sz w:val="21"/>
          <w:highlight w:val="yellow"/>
        </w:rPr>
        <w:t>[X]</w:t>
      </w:r>
      <w:r>
        <w:rPr>
          <w:rFonts w:ascii="等线" w:hAnsi="等线" w:eastAsia="等线"/>
          <w:b w:val="0"/>
          <w:sz w:val="21"/>
        </w:rPr>
        <w:t>%，达到</w:t>
      </w:r>
      <w:r>
        <w:rPr>
          <w:rFonts w:ascii="等线" w:hAnsi="等线" w:eastAsia="等线"/>
          <w:b w:val="0"/>
          <w:sz w:val="21"/>
          <w:highlight w:val="yellow"/>
        </w:rPr>
        <w:t>[X]</w:t>
      </w:r>
      <w:r>
        <w:rPr>
          <w:rFonts w:ascii="等线" w:hAnsi="等线" w:eastAsia="等线"/>
          <w:b w:val="0"/>
          <w:sz w:val="21"/>
        </w:rPr>
        <w:t>亿美元。</w:t>
      </w:r>
    </w:p>
    <w:p>
      <w:pPr>
        <w:jc w:val="left"/>
      </w:pPr>
      <w:r>
        <w:rPr>
          <w:rFonts w:ascii="等线" w:hAnsi="等线" w:eastAsia="等线"/>
          <w:b w:val="0"/>
          <w:sz w:val="21"/>
        </w:rPr>
        <w:t>8. 中型企业（员工人数50 - 250人或年营业额在</w:t>
      </w:r>
      <w:r>
        <w:rPr>
          <w:rFonts w:ascii="等线" w:hAnsi="等线" w:eastAsia="等线"/>
          <w:b w:val="0"/>
          <w:sz w:val="21"/>
          <w:highlight w:val="yellow"/>
        </w:rPr>
        <w:t>[X]</w:t>
      </w:r>
      <w:r>
        <w:rPr>
          <w:rFonts w:ascii="等线" w:hAnsi="等线" w:eastAsia="等线"/>
          <w:b w:val="0"/>
          <w:sz w:val="21"/>
        </w:rPr>
        <w:t>-</w:t>
      </w:r>
      <w:r>
        <w:rPr>
          <w:rFonts w:ascii="等线" w:hAnsi="等线" w:eastAsia="等线"/>
          <w:b w:val="0"/>
          <w:sz w:val="21"/>
          <w:highlight w:val="yellow"/>
        </w:rPr>
        <w:t>[X]</w:t>
      </w:r>
      <w:r>
        <w:rPr>
          <w:rFonts w:ascii="等线" w:hAnsi="等线" w:eastAsia="等线"/>
          <w:b w:val="0"/>
          <w:sz w:val="21"/>
        </w:rPr>
        <w:t>美元之间）贷款占中小企业贷款总额的</w:t>
      </w:r>
      <w:r>
        <w:rPr>
          <w:rFonts w:ascii="等线" w:hAnsi="等线" w:eastAsia="等线"/>
          <w:b w:val="0"/>
          <w:sz w:val="21"/>
          <w:highlight w:val="yellow"/>
        </w:rPr>
        <w:t>[X]</w:t>
      </w:r>
      <w:r>
        <w:rPr>
          <w:rFonts w:ascii="等线" w:hAnsi="等线" w:eastAsia="等线"/>
          <w:b w:val="0"/>
          <w:sz w:val="21"/>
        </w:rPr>
        <w:t>%，总计</w:t>
      </w:r>
      <w:r>
        <w:rPr>
          <w:rFonts w:ascii="等线" w:hAnsi="等线" w:eastAsia="等线"/>
          <w:b w:val="0"/>
          <w:sz w:val="21"/>
          <w:highlight w:val="yellow"/>
        </w:rPr>
        <w:t>[X]</w:t>
      </w:r>
      <w:r>
        <w:rPr>
          <w:rFonts w:ascii="等线" w:hAnsi="等线" w:eastAsia="等线"/>
          <w:b w:val="0"/>
          <w:sz w:val="21"/>
        </w:rPr>
        <w:t>亿美元。</w:t>
      </w:r>
    </w:p>
    <w:p>
      <w:pPr>
        <w:jc w:val="left"/>
      </w:pPr>
      <w:r>
        <w:rPr>
          <w:rFonts w:ascii="等线" w:hAnsi="等线" w:eastAsia="等线"/>
          <w:b w:val="0"/>
          <w:sz w:val="21"/>
        </w:rPr>
        <w:t>三、贷款利率与优惠政策</w:t>
      </w:r>
    </w:p>
    <w:p>
      <w:pPr>
        <w:jc w:val="left"/>
      </w:pPr>
      <w:r>
        <w:rPr>
          <w:rFonts w:ascii="等线" w:hAnsi="等线" w:eastAsia="等线"/>
          <w:b w:val="0"/>
          <w:sz w:val="21"/>
        </w:rPr>
        <w:t>1. 平均贷款利率</w:t>
      </w:r>
    </w:p>
    <w:p>
      <w:pPr>
        <w:jc w:val="left"/>
      </w:pPr>
      <w:r>
        <w:rPr>
          <w:rFonts w:ascii="等线" w:hAnsi="等线" w:eastAsia="等线"/>
          <w:b w:val="0"/>
          <w:sz w:val="21"/>
        </w:rPr>
        <w:t>2. 中小企业贷款的平均年利率为</w:t>
      </w:r>
      <w:r>
        <w:rPr>
          <w:rFonts w:ascii="等线" w:hAnsi="等线" w:eastAsia="等线"/>
          <w:b w:val="0"/>
          <w:sz w:val="21"/>
          <w:highlight w:val="yellow"/>
        </w:rPr>
        <w:t>[X]</w:t>
      </w:r>
      <w:r>
        <w:rPr>
          <w:rFonts w:ascii="等线" w:hAnsi="等线" w:eastAsia="等线"/>
          <w:b w:val="0"/>
          <w:sz w:val="21"/>
        </w:rPr>
        <w:t>%。与大型企业贷款利率相比，我们在合理风险评估的基础上，尽量保持中小企业贷款利率的竞争力。</w:t>
      </w:r>
    </w:p>
    <w:p>
      <w:pPr>
        <w:jc w:val="left"/>
      </w:pPr>
      <w:r>
        <w:rPr>
          <w:rFonts w:ascii="等线" w:hAnsi="等线" w:eastAsia="等线"/>
          <w:b w:val="0"/>
          <w:sz w:val="21"/>
        </w:rPr>
        <w:t>3. 优惠政策</w:t>
      </w:r>
    </w:p>
    <w:p>
      <w:pPr>
        <w:jc w:val="left"/>
      </w:pPr>
      <w:r>
        <w:rPr>
          <w:rFonts w:ascii="等线" w:hAnsi="等线" w:eastAsia="等线"/>
          <w:b w:val="0"/>
          <w:sz w:val="21"/>
        </w:rPr>
        <w:t>4. 我们为</w:t>
      </w:r>
      <w:r>
        <w:rPr>
          <w:rFonts w:ascii="等线" w:hAnsi="等线" w:eastAsia="等线"/>
          <w:b w:val="0"/>
          <w:sz w:val="21"/>
          <w:highlight w:val="yellow"/>
        </w:rPr>
        <w:t>[X]</w:t>
      </w:r>
      <w:r>
        <w:rPr>
          <w:rFonts w:ascii="等线" w:hAnsi="等线" w:eastAsia="等线"/>
          <w:b w:val="0"/>
          <w:sz w:val="21"/>
        </w:rPr>
        <w:t>%的中小企业贷款提供了利率优惠，优惠幅度平均为</w:t>
      </w:r>
      <w:r>
        <w:rPr>
          <w:rFonts w:ascii="等线" w:hAnsi="等线" w:eastAsia="等线"/>
          <w:b w:val="0"/>
          <w:sz w:val="21"/>
          <w:highlight w:val="yellow"/>
        </w:rPr>
        <w:t>[X]</w:t>
      </w:r>
      <w:r>
        <w:rPr>
          <w:rFonts w:ascii="等线" w:hAnsi="等线" w:eastAsia="等线"/>
          <w:b w:val="0"/>
          <w:sz w:val="21"/>
        </w:rPr>
        <w:t>个百分点。这些优惠政策主要针对符合国家产业政策导向、创新能力强或吸纳就业人数较多的中小企业。</w:t>
      </w:r>
    </w:p>
    <w:p>
      <w:pPr>
        <w:jc w:val="left"/>
      </w:pPr>
      <w:r>
        <w:rPr>
          <w:rFonts w:ascii="等线" w:hAnsi="等线" w:eastAsia="等线"/>
          <w:b w:val="0"/>
          <w:sz w:val="21"/>
        </w:rPr>
        <w:t>5. 设立了专门的中小企业贷款风险补偿基金，金额达到</w:t>
      </w:r>
      <w:r>
        <w:rPr>
          <w:rFonts w:ascii="等线" w:hAnsi="等线" w:eastAsia="等线"/>
          <w:b w:val="0"/>
          <w:sz w:val="21"/>
          <w:highlight w:val="yellow"/>
        </w:rPr>
        <w:t>[X]</w:t>
      </w:r>
      <w:r>
        <w:rPr>
          <w:rFonts w:ascii="等线" w:hAnsi="等线" w:eastAsia="等线"/>
          <w:b w:val="0"/>
          <w:sz w:val="21"/>
        </w:rPr>
        <w:t>亿美元。当符合条件的中小企业贷款出现一定风险时，该基金可以进行部分代偿，降低企业的还款压力。</w:t>
      </w:r>
    </w:p>
    <w:p>
      <w:pPr>
        <w:jc w:val="left"/>
      </w:pPr>
      <w:r>
        <w:rPr>
          <w:rFonts w:ascii="等线" w:hAnsi="等线" w:eastAsia="等线"/>
          <w:b w:val="0"/>
          <w:sz w:val="21"/>
        </w:rPr>
        <w:t>四、金融服务创新</w:t>
      </w:r>
    </w:p>
    <w:p>
      <w:pPr>
        <w:jc w:val="left"/>
      </w:pPr>
      <w:r>
        <w:rPr>
          <w:rFonts w:ascii="等线" w:hAnsi="等线" w:eastAsia="等线"/>
          <w:b w:val="0"/>
          <w:sz w:val="21"/>
        </w:rPr>
        <w:t>1. 数字化服务</w:t>
      </w:r>
    </w:p>
    <w:p>
      <w:pPr>
        <w:jc w:val="left"/>
      </w:pPr>
      <w:r>
        <w:rPr>
          <w:rFonts w:ascii="等线" w:hAnsi="等线" w:eastAsia="等线"/>
          <w:b w:val="0"/>
          <w:sz w:val="21"/>
        </w:rPr>
        <w:t>2. 我们开发的中小企业专属线上金融服务平台，注册企业数量达到</w:t>
      </w:r>
      <w:r>
        <w:rPr>
          <w:rFonts w:ascii="等线" w:hAnsi="等线" w:eastAsia="等线"/>
          <w:b w:val="0"/>
          <w:sz w:val="21"/>
          <w:highlight w:val="yellow"/>
        </w:rPr>
        <w:t>[X]</w:t>
      </w:r>
      <w:r>
        <w:rPr>
          <w:rFonts w:ascii="等线" w:hAnsi="等线" w:eastAsia="等线"/>
          <w:b w:val="0"/>
          <w:sz w:val="21"/>
        </w:rPr>
        <w:t>家。通过该平台，中小企业可以便捷地申请贷款、查询账户信息、进行财务管理等。</w:t>
      </w:r>
    </w:p>
    <w:p>
      <w:pPr>
        <w:jc w:val="left"/>
      </w:pPr>
      <w:r>
        <w:rPr>
          <w:rFonts w:ascii="等线" w:hAnsi="等线" w:eastAsia="等线"/>
          <w:b w:val="0"/>
          <w:sz w:val="21"/>
        </w:rPr>
        <w:t>3. 线上贷款审批时间平均缩短至</w:t>
      </w:r>
      <w:r>
        <w:rPr>
          <w:rFonts w:ascii="等线" w:hAnsi="等线" w:eastAsia="等线"/>
          <w:b w:val="0"/>
          <w:sz w:val="21"/>
          <w:highlight w:val="yellow"/>
        </w:rPr>
        <w:t>[X]</w:t>
      </w:r>
      <w:r>
        <w:rPr>
          <w:rFonts w:ascii="等线" w:hAnsi="等线" w:eastAsia="等线"/>
          <w:b w:val="0"/>
          <w:sz w:val="21"/>
        </w:rPr>
        <w:t>个工作日，较传统线下审批流程提高了</w:t>
      </w:r>
      <w:r>
        <w:rPr>
          <w:rFonts w:ascii="等线" w:hAnsi="等线" w:eastAsia="等线"/>
          <w:b w:val="0"/>
          <w:sz w:val="21"/>
          <w:highlight w:val="yellow"/>
        </w:rPr>
        <w:t>[X]</w:t>
      </w:r>
      <w:r>
        <w:rPr>
          <w:rFonts w:ascii="等线" w:hAnsi="等线" w:eastAsia="等线"/>
          <w:b w:val="0"/>
          <w:sz w:val="21"/>
        </w:rPr>
        <w:t>%的效率。</w:t>
      </w:r>
    </w:p>
    <w:p>
      <w:pPr>
        <w:jc w:val="left"/>
      </w:pPr>
      <w:r>
        <w:rPr>
          <w:rFonts w:ascii="等线" w:hAnsi="等线" w:eastAsia="等线"/>
          <w:b w:val="0"/>
          <w:sz w:val="21"/>
        </w:rPr>
        <w:t>4. 定制化金融产品</w:t>
      </w:r>
    </w:p>
    <w:p>
      <w:pPr>
        <w:jc w:val="left"/>
      </w:pPr>
      <w:r>
        <w:rPr>
          <w:rFonts w:ascii="等线" w:hAnsi="等线" w:eastAsia="等线"/>
          <w:b w:val="0"/>
          <w:sz w:val="21"/>
        </w:rPr>
        <w:t>5. 推出了</w:t>
      </w:r>
      <w:r>
        <w:rPr>
          <w:rFonts w:ascii="等线" w:hAnsi="等线" w:eastAsia="等线"/>
          <w:b w:val="0"/>
          <w:sz w:val="21"/>
          <w:highlight w:val="yellow"/>
        </w:rPr>
        <w:t>[X]</w:t>
      </w:r>
      <w:r>
        <w:rPr>
          <w:rFonts w:ascii="等线" w:hAnsi="等线" w:eastAsia="等线"/>
          <w:b w:val="0"/>
          <w:sz w:val="21"/>
        </w:rPr>
        <w:t>种针对不同类型中小企业需求的定制化金融产品，如针对科技型中小企业的知识产权质押贷款，已发放的此类贷款金额为</w:t>
      </w:r>
      <w:r>
        <w:rPr>
          <w:rFonts w:ascii="等线" w:hAnsi="等线" w:eastAsia="等线"/>
          <w:b w:val="0"/>
          <w:sz w:val="21"/>
          <w:highlight w:val="yellow"/>
        </w:rPr>
        <w:t>[X]</w:t>
      </w:r>
      <w:r>
        <w:rPr>
          <w:rFonts w:ascii="等线" w:hAnsi="等线" w:eastAsia="等线"/>
          <w:b w:val="0"/>
          <w:sz w:val="21"/>
        </w:rPr>
        <w:t>亿美元，涉及</w:t>
      </w:r>
      <w:r>
        <w:rPr>
          <w:rFonts w:ascii="等线" w:hAnsi="等线" w:eastAsia="等线"/>
          <w:b w:val="0"/>
          <w:sz w:val="21"/>
          <w:highlight w:val="yellow"/>
        </w:rPr>
        <w:t>[X]</w:t>
      </w:r>
      <w:r>
        <w:rPr>
          <w:rFonts w:ascii="等线" w:hAnsi="等线" w:eastAsia="等线"/>
          <w:b w:val="0"/>
          <w:sz w:val="21"/>
        </w:rPr>
        <w:t>家企业。</w:t>
      </w:r>
    </w:p>
    <w:p>
      <w:pPr>
        <w:jc w:val="left"/>
      </w:pPr>
      <w:r>
        <w:rPr>
          <w:rFonts w:ascii="等线" w:hAnsi="等线" w:eastAsia="等线"/>
          <w:b w:val="0"/>
          <w:sz w:val="21"/>
        </w:rPr>
        <w:t>五、支持中小企业国际化发展</w:t>
      </w:r>
    </w:p>
    <w:p>
      <w:pPr>
        <w:jc w:val="left"/>
      </w:pPr>
      <w:r>
        <w:rPr>
          <w:rFonts w:ascii="等线" w:hAnsi="等线" w:eastAsia="等线"/>
          <w:b w:val="0"/>
          <w:sz w:val="21"/>
        </w:rPr>
        <w:t>1. 贸易融资支持</w:t>
      </w:r>
    </w:p>
    <w:p>
      <w:pPr>
        <w:jc w:val="left"/>
      </w:pPr>
      <w:r>
        <w:rPr>
          <w:rFonts w:ascii="等线" w:hAnsi="等线" w:eastAsia="等线"/>
          <w:b w:val="0"/>
          <w:sz w:val="21"/>
        </w:rPr>
        <w:t>2. 为从事国际贸易的中小企业提供的贸易融资额达到</w:t>
      </w:r>
      <w:r>
        <w:rPr>
          <w:rFonts w:ascii="等线" w:hAnsi="等线" w:eastAsia="等线"/>
          <w:b w:val="0"/>
          <w:sz w:val="21"/>
          <w:highlight w:val="yellow"/>
        </w:rPr>
        <w:t>[X]</w:t>
      </w:r>
      <w:r>
        <w:rPr>
          <w:rFonts w:ascii="等线" w:hAnsi="等线" w:eastAsia="等线"/>
          <w:b w:val="0"/>
          <w:sz w:val="21"/>
        </w:rPr>
        <w:t>亿美元，占中小企业贷款总额的</w:t>
      </w:r>
      <w:r>
        <w:rPr>
          <w:rFonts w:ascii="等线" w:hAnsi="等线" w:eastAsia="等线"/>
          <w:b w:val="0"/>
          <w:sz w:val="21"/>
          <w:highlight w:val="yellow"/>
        </w:rPr>
        <w:t>[X]</w:t>
      </w:r>
      <w:r>
        <w:rPr>
          <w:rFonts w:ascii="等线" w:hAnsi="等线" w:eastAsia="等线"/>
          <w:b w:val="0"/>
          <w:sz w:val="21"/>
        </w:rPr>
        <w:t>%。这有助于中小企业拓展海外市场，参与全球产业链分工。</w:t>
      </w:r>
    </w:p>
    <w:p>
      <w:pPr>
        <w:jc w:val="left"/>
      </w:pPr>
      <w:r>
        <w:rPr>
          <w:rFonts w:ascii="等线" w:hAnsi="等线" w:eastAsia="等线"/>
          <w:b w:val="0"/>
          <w:sz w:val="21"/>
        </w:rPr>
        <w:t>3. 跨境金融服务</w:t>
      </w:r>
    </w:p>
    <w:p>
      <w:pPr>
        <w:jc w:val="left"/>
      </w:pPr>
      <w:r>
        <w:rPr>
          <w:rFonts w:ascii="等线" w:hAnsi="等线" w:eastAsia="等线"/>
          <w:b w:val="0"/>
          <w:sz w:val="21"/>
        </w:rPr>
        <w:t>4. 提供跨境结算、外汇风险管理等跨境金融服务的中小企业客户数量为</w:t>
      </w:r>
      <w:r>
        <w:rPr>
          <w:rFonts w:ascii="等线" w:hAnsi="等线" w:eastAsia="等线"/>
          <w:b w:val="0"/>
          <w:sz w:val="21"/>
          <w:highlight w:val="yellow"/>
        </w:rPr>
        <w:t>[X]</w:t>
      </w:r>
      <w:r>
        <w:rPr>
          <w:rFonts w:ascii="等线" w:hAnsi="等线" w:eastAsia="等线"/>
          <w:b w:val="0"/>
          <w:sz w:val="21"/>
        </w:rPr>
        <w:t>家。我们为这些企业提供了汇率优惠政策，累计为企业节省外汇兑换成本</w:t>
      </w:r>
      <w:r>
        <w:rPr>
          <w:rFonts w:ascii="等线" w:hAnsi="等线" w:eastAsia="等线"/>
          <w:b w:val="0"/>
          <w:sz w:val="21"/>
          <w:highlight w:val="yellow"/>
        </w:rPr>
        <w:t>[X]</w:t>
      </w:r>
      <w:r>
        <w:rPr>
          <w:rFonts w:ascii="等线" w:hAnsi="等线" w:eastAsia="等线"/>
          <w:b w:val="0"/>
          <w:sz w:val="21"/>
        </w:rPr>
        <w:t>万美元。</w:t>
      </w:r>
    </w:p>
    <w:p>
      <w:r>
        <w:br w:type="page"/>
      </w:r>
    </w:p>
    <w:p>
      <w:pPr>
        <w:pStyle w:val="Heading1"/>
      </w:pPr>
      <w:r>
        <w:rPr>
          <w:rFonts w:ascii="等线" w:hAnsi="等线" w:eastAsia="等线"/>
          <w:color w:val="000000"/>
          <w:sz w:val="44"/>
        </w:rPr>
        <w:t>公司治理</w:t>
      </w:r>
    </w:p>
    <w:p>
      <w:pPr>
        <w:pStyle w:val="Heading2"/>
      </w:pPr>
      <w:r>
        <w:rPr>
          <w:rFonts w:ascii="等线" w:hAnsi="等线" w:eastAsia="等线"/>
          <w:color w:val="000000"/>
          <w:sz w:val="32"/>
        </w:rPr>
        <w:t>尽职调查</w:t>
      </w:r>
    </w:p>
    <w:p>
      <w:pPr>
        <w:jc w:val="left"/>
      </w:pPr>
      <w:r>
        <w:rPr>
          <w:rFonts w:ascii="等线" w:hAnsi="等线" w:eastAsia="等线"/>
          <w:b w:val="0"/>
          <w:sz w:val="21"/>
        </w:rPr>
        <w:t>公司治理 - 尽职调查</w:t>
      </w:r>
    </w:p>
    <w:p>
      <w:pPr>
        <w:jc w:val="left"/>
      </w:pPr>
      <w:r>
        <w:rPr>
          <w:rFonts w:ascii="等线" w:hAnsi="等线" w:eastAsia="等线"/>
          <w:b w:val="0"/>
          <w:sz w:val="21"/>
        </w:rPr>
        <w:t>一、负责尽职调查的机构或人员</w:t>
      </w:r>
    </w:p>
    <w:p>
      <w:pPr>
        <w:jc w:val="left"/>
      </w:pPr>
      <w:r>
        <w:rPr>
          <w:rFonts w:ascii="等线" w:hAnsi="等线" w:eastAsia="等线"/>
          <w:b w:val="0"/>
          <w:sz w:val="21"/>
        </w:rPr>
        <w:t>在本大型国有银行业企业中，负责可持续发展相关负面影响或风险尽职调查的机构主要为内部风险管理部门与企业社会责任部门的联合工作小组。该工作小组由风险管理部门的资深专家</w:t>
      </w:r>
      <w:r>
        <w:rPr>
          <w:rFonts w:ascii="等线" w:hAnsi="等线" w:eastAsia="等线"/>
          <w:b w:val="0"/>
          <w:sz w:val="21"/>
          <w:highlight w:val="yellow"/>
        </w:rPr>
        <w:t>[X]</w:t>
      </w:r>
      <w:r>
        <w:rPr>
          <w:rFonts w:ascii="等线" w:hAnsi="等线" w:eastAsia="等线"/>
          <w:b w:val="0"/>
          <w:sz w:val="21"/>
        </w:rPr>
        <w:t>名以及企业社会责任部门的专业人员</w:t>
      </w:r>
      <w:r>
        <w:rPr>
          <w:rFonts w:ascii="等线" w:hAnsi="等线" w:eastAsia="等线"/>
          <w:b w:val="0"/>
          <w:sz w:val="21"/>
          <w:highlight w:val="yellow"/>
        </w:rPr>
        <w:t>[X]</w:t>
      </w:r>
      <w:r>
        <w:rPr>
          <w:rFonts w:ascii="等线" w:hAnsi="等线" w:eastAsia="等线"/>
          <w:b w:val="0"/>
          <w:sz w:val="21"/>
        </w:rPr>
        <w:t>名组成。其中，风险管理部门的专家具备多年的金融风险评估经验，平均从业年限达</w:t>
      </w:r>
      <w:r>
        <w:rPr>
          <w:rFonts w:ascii="等线" w:hAnsi="等线" w:eastAsia="等线"/>
          <w:b w:val="0"/>
          <w:sz w:val="21"/>
          <w:highlight w:val="yellow"/>
        </w:rPr>
        <w:t>[X]</w:t>
      </w:r>
      <w:r>
        <w:rPr>
          <w:rFonts w:ascii="等线" w:hAnsi="等线" w:eastAsia="等线"/>
          <w:b w:val="0"/>
          <w:sz w:val="21"/>
        </w:rPr>
        <w:t>年，在信用风险、市场风险等传统金融风险领域有着深入的研究与实践经验。企业社会责任部门的人员则在环境、社会和公司治理（ESG）等新兴领域有着丰富的知识储备与项目执行经验。</w:t>
      </w:r>
    </w:p>
    <w:p>
      <w:pPr>
        <w:jc w:val="left"/>
      </w:pPr>
      <w:r>
        <w:rPr>
          <w:rFonts w:ascii="等线" w:hAnsi="等线" w:eastAsia="等线"/>
          <w:b w:val="0"/>
          <w:sz w:val="21"/>
        </w:rPr>
        <w:t>二、尽职调查的范围</w:t>
      </w:r>
    </w:p>
    <w:p>
      <w:pPr>
        <w:jc w:val="left"/>
      </w:pPr>
      <w:r>
        <w:rPr>
          <w:rFonts w:ascii="等线" w:hAnsi="等线" w:eastAsia="等线"/>
          <w:b w:val="0"/>
          <w:sz w:val="21"/>
        </w:rPr>
        <w:t>1. 环境方面</w:t>
      </w:r>
    </w:p>
    <w:p>
      <w:pPr>
        <w:ind w:left="480"/>
        <w:jc w:val="left"/>
      </w:pPr>
      <w:r>
        <w:rPr>
          <w:rFonts w:ascii="等线" w:hAnsi="等线" w:eastAsia="等线"/>
          <w:b w:val="0"/>
          <w:sz w:val="21"/>
        </w:rPr>
        <w:t>◦ 对本行的信贷业务进行全面梳理，涉及的贷款金额总量达</w:t>
      </w:r>
      <w:r>
        <w:rPr>
          <w:rFonts w:ascii="等线" w:hAnsi="等线" w:eastAsia="等线"/>
          <w:b w:val="0"/>
          <w:sz w:val="21"/>
          <w:highlight w:val="yellow"/>
        </w:rPr>
        <w:t>[X]</w:t>
      </w:r>
      <w:r>
        <w:rPr>
          <w:rFonts w:ascii="等线" w:hAnsi="等线" w:eastAsia="等线"/>
          <w:b w:val="0"/>
          <w:sz w:val="21"/>
        </w:rPr>
        <w:t>亿美元。重点关注投向高污染、高能耗行业（如煤炭、钢铁、化工等）企业的贷款情况，其中涉及高污染行业的贷款余额占总贷款余额的</w:t>
      </w:r>
      <w:r>
        <w:rPr>
          <w:rFonts w:ascii="等线" w:hAnsi="等线" w:eastAsia="等线"/>
          <w:b w:val="0"/>
          <w:sz w:val="21"/>
          <w:highlight w:val="yellow"/>
        </w:rPr>
        <w:t>[X]</w:t>
      </w:r>
      <w:r>
        <w:rPr>
          <w:rFonts w:ascii="等线" w:hAnsi="等线" w:eastAsia="等线"/>
          <w:b w:val="0"/>
          <w:sz w:val="21"/>
        </w:rPr>
        <w:t>%。</w:t>
      </w:r>
    </w:p>
    <w:p>
      <w:pPr>
        <w:ind w:left="480"/>
        <w:jc w:val="left"/>
      </w:pPr>
      <w:r>
        <w:rPr>
          <w:rFonts w:ascii="等线" w:hAnsi="等线" w:eastAsia="等线"/>
          <w:b w:val="0"/>
          <w:sz w:val="21"/>
        </w:rPr>
        <w:t>◦ 调查本行办公场所及分支机构的能源消耗情况，包括电力消耗</w:t>
      </w:r>
      <w:r>
        <w:rPr>
          <w:rFonts w:ascii="等线" w:hAnsi="等线" w:eastAsia="等线"/>
          <w:b w:val="0"/>
          <w:sz w:val="21"/>
          <w:highlight w:val="yellow"/>
        </w:rPr>
        <w:t>[X]</w:t>
      </w:r>
      <w:r>
        <w:rPr>
          <w:rFonts w:ascii="等线" w:hAnsi="等线" w:eastAsia="等线"/>
          <w:b w:val="0"/>
          <w:sz w:val="21"/>
        </w:rPr>
        <w:t>万千瓦时，水资源消耗</w:t>
      </w:r>
      <w:r>
        <w:rPr>
          <w:rFonts w:ascii="等线" w:hAnsi="等线" w:eastAsia="等线"/>
          <w:b w:val="0"/>
          <w:sz w:val="21"/>
          <w:highlight w:val="yellow"/>
        </w:rPr>
        <w:t>[X]</w:t>
      </w:r>
      <w:r>
        <w:rPr>
          <w:rFonts w:ascii="等线" w:hAnsi="等线" w:eastAsia="等线"/>
          <w:b w:val="0"/>
          <w:sz w:val="21"/>
        </w:rPr>
        <w:t>立方米，以及碳排放总量达</w:t>
      </w:r>
      <w:r>
        <w:rPr>
          <w:rFonts w:ascii="等线" w:hAnsi="等线" w:eastAsia="等线"/>
          <w:b w:val="0"/>
          <w:sz w:val="21"/>
          <w:highlight w:val="yellow"/>
        </w:rPr>
        <w:t>[X]</w:t>
      </w:r>
      <w:r>
        <w:rPr>
          <w:rFonts w:ascii="等线" w:hAnsi="等线" w:eastAsia="等线"/>
          <w:b w:val="0"/>
          <w:sz w:val="21"/>
        </w:rPr>
        <w:t>吨二氧化碳当量。</w:t>
      </w:r>
    </w:p>
    <w:p>
      <w:pPr>
        <w:jc w:val="left"/>
      </w:pPr>
      <w:r>
        <w:rPr>
          <w:rFonts w:ascii="等线" w:hAnsi="等线" w:eastAsia="等线"/>
          <w:b w:val="0"/>
          <w:sz w:val="21"/>
        </w:rPr>
        <w:t>2. 社会方面</w:t>
      </w:r>
    </w:p>
    <w:p>
      <w:pPr>
        <w:ind w:left="480"/>
        <w:jc w:val="left"/>
      </w:pPr>
      <w:r>
        <w:rPr>
          <w:rFonts w:ascii="等线" w:hAnsi="等线" w:eastAsia="等线"/>
          <w:b w:val="0"/>
          <w:sz w:val="21"/>
        </w:rPr>
        <w:t>◦ 针对本行的客户服务情况进行调查，涉及客户数量达</w:t>
      </w:r>
      <w:r>
        <w:rPr>
          <w:rFonts w:ascii="等线" w:hAnsi="等线" w:eastAsia="等线"/>
          <w:b w:val="0"/>
          <w:sz w:val="21"/>
          <w:highlight w:val="yellow"/>
        </w:rPr>
        <w:t>[X]</w:t>
      </w:r>
      <w:r>
        <w:rPr>
          <w:rFonts w:ascii="等线" w:hAnsi="等线" w:eastAsia="等线"/>
          <w:b w:val="0"/>
          <w:sz w:val="21"/>
        </w:rPr>
        <w:t>万户。重点关注客户投诉处理情况，报告期内共收到客户投诉</w:t>
      </w:r>
      <w:r>
        <w:rPr>
          <w:rFonts w:ascii="等线" w:hAnsi="等线" w:eastAsia="等线"/>
          <w:b w:val="0"/>
          <w:sz w:val="21"/>
          <w:highlight w:val="yellow"/>
        </w:rPr>
        <w:t>[X]</w:t>
      </w:r>
      <w:r>
        <w:rPr>
          <w:rFonts w:ascii="等线" w:hAnsi="等线" w:eastAsia="等线"/>
          <w:b w:val="0"/>
          <w:sz w:val="21"/>
        </w:rPr>
        <w:t>起，处理满意度为</w:t>
      </w:r>
      <w:r>
        <w:rPr>
          <w:rFonts w:ascii="等线" w:hAnsi="等线" w:eastAsia="等线"/>
          <w:b w:val="0"/>
          <w:sz w:val="21"/>
          <w:highlight w:val="yellow"/>
        </w:rPr>
        <w:t>[X]</w:t>
      </w:r>
      <w:r>
        <w:rPr>
          <w:rFonts w:ascii="等线" w:hAnsi="等线" w:eastAsia="等线"/>
          <w:b w:val="0"/>
          <w:sz w:val="21"/>
        </w:rPr>
        <w:t>%。</w:t>
      </w:r>
    </w:p>
    <w:p>
      <w:pPr>
        <w:ind w:left="480"/>
        <w:jc w:val="left"/>
      </w:pPr>
      <w:r>
        <w:rPr>
          <w:rFonts w:ascii="等线" w:hAnsi="等线" w:eastAsia="等线"/>
          <w:b w:val="0"/>
          <w:sz w:val="21"/>
        </w:rPr>
        <w:t>◦ 对本行员工权益保障情况进行评估，涵盖员工总数</w:t>
      </w:r>
      <w:r>
        <w:rPr>
          <w:rFonts w:ascii="等线" w:hAnsi="等线" w:eastAsia="等线"/>
          <w:b w:val="0"/>
          <w:sz w:val="21"/>
          <w:highlight w:val="yellow"/>
        </w:rPr>
        <w:t>[X]</w:t>
      </w:r>
      <w:r>
        <w:rPr>
          <w:rFonts w:ascii="等线" w:hAnsi="等线" w:eastAsia="等线"/>
          <w:b w:val="0"/>
          <w:sz w:val="21"/>
        </w:rPr>
        <w:t>人。包括员工薪酬福利是否符合当地法律法规和行业标准，员工培训投入占工资总额的</w:t>
      </w:r>
      <w:r>
        <w:rPr>
          <w:rFonts w:ascii="等线" w:hAnsi="等线" w:eastAsia="等线"/>
          <w:b w:val="0"/>
          <w:sz w:val="21"/>
          <w:highlight w:val="yellow"/>
        </w:rPr>
        <w:t>[X]</w:t>
      </w:r>
      <w:r>
        <w:rPr>
          <w:rFonts w:ascii="等线" w:hAnsi="等线" w:eastAsia="等线"/>
          <w:b w:val="0"/>
          <w:sz w:val="21"/>
        </w:rPr>
        <w:t>%，以及员工多元化（如性别比例，男性员工占</w:t>
      </w:r>
      <w:r>
        <w:rPr>
          <w:rFonts w:ascii="等线" w:hAnsi="等线" w:eastAsia="等线"/>
          <w:b w:val="0"/>
          <w:sz w:val="21"/>
          <w:highlight w:val="yellow"/>
        </w:rPr>
        <w:t>[X]</w:t>
      </w:r>
      <w:r>
        <w:rPr>
          <w:rFonts w:ascii="等线" w:hAnsi="等线" w:eastAsia="等线"/>
          <w:b w:val="0"/>
          <w:sz w:val="21"/>
        </w:rPr>
        <w:t>%，女性员工占</w:t>
      </w:r>
      <w:r>
        <w:rPr>
          <w:rFonts w:ascii="等线" w:hAnsi="等线" w:eastAsia="等线"/>
          <w:b w:val="0"/>
          <w:sz w:val="21"/>
          <w:highlight w:val="yellow"/>
        </w:rPr>
        <w:t>[X]</w:t>
      </w:r>
      <w:r>
        <w:rPr>
          <w:rFonts w:ascii="等线" w:hAnsi="等线" w:eastAsia="等线"/>
          <w:b w:val="0"/>
          <w:sz w:val="21"/>
        </w:rPr>
        <w:t>%）等方面。</w:t>
      </w:r>
    </w:p>
    <w:p>
      <w:pPr>
        <w:jc w:val="left"/>
      </w:pPr>
      <w:r>
        <w:rPr>
          <w:rFonts w:ascii="等线" w:hAnsi="等线" w:eastAsia="等线"/>
          <w:b w:val="0"/>
          <w:sz w:val="21"/>
        </w:rPr>
        <w:t>3. 公司治理方面</w:t>
      </w:r>
    </w:p>
    <w:p>
      <w:pPr>
        <w:ind w:left="480"/>
        <w:jc w:val="left"/>
      </w:pPr>
      <w:r>
        <w:rPr>
          <w:rFonts w:ascii="等线" w:hAnsi="等线" w:eastAsia="等线"/>
          <w:b w:val="0"/>
          <w:sz w:val="21"/>
        </w:rPr>
        <w:t>◦ 审查本行的内部治理结构，包括董事会、监事会和高级管理层的运作情况。调查涉及的决策事项达</w:t>
      </w:r>
      <w:r>
        <w:rPr>
          <w:rFonts w:ascii="等线" w:hAnsi="等线" w:eastAsia="等线"/>
          <w:b w:val="0"/>
          <w:sz w:val="21"/>
          <w:highlight w:val="yellow"/>
        </w:rPr>
        <w:t>[X]</w:t>
      </w:r>
      <w:r>
        <w:rPr>
          <w:rFonts w:ascii="等线" w:hAnsi="等线" w:eastAsia="等线"/>
          <w:b w:val="0"/>
          <w:sz w:val="21"/>
        </w:rPr>
        <w:t>项，重点关注关联交易情况，报告期内关联交易金额为</w:t>
      </w:r>
      <w:r>
        <w:rPr>
          <w:rFonts w:ascii="等线" w:hAnsi="等线" w:eastAsia="等线"/>
          <w:b w:val="0"/>
          <w:sz w:val="21"/>
          <w:highlight w:val="yellow"/>
        </w:rPr>
        <w:t>[X]</w:t>
      </w:r>
      <w:r>
        <w:rPr>
          <w:rFonts w:ascii="等线" w:hAnsi="等线" w:eastAsia="等线"/>
          <w:b w:val="0"/>
          <w:sz w:val="21"/>
        </w:rPr>
        <w:t>美元，关联交易的审批合规率为</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三、识别可持续发展相关负面影响或风险的程序</w:t>
      </w:r>
    </w:p>
    <w:p>
      <w:pPr>
        <w:jc w:val="left"/>
      </w:pPr>
      <w:r>
        <w:rPr>
          <w:rFonts w:ascii="等线" w:hAnsi="等线" w:eastAsia="等线"/>
          <w:b w:val="0"/>
          <w:sz w:val="21"/>
        </w:rPr>
        <w:t>1. 数据收集与分析</w:t>
      </w:r>
    </w:p>
    <w:p>
      <w:pPr>
        <w:ind w:left="480"/>
        <w:jc w:val="left"/>
      </w:pPr>
      <w:r>
        <w:rPr>
          <w:rFonts w:ascii="等线" w:hAnsi="等线" w:eastAsia="等线"/>
          <w:b w:val="0"/>
          <w:sz w:val="21"/>
        </w:rPr>
        <w:t>◦ 从内部业务系统收集各类业务数据，如信贷业务数据、财务数据、人力资源数据等，数据量达</w:t>
      </w:r>
      <w:r>
        <w:rPr>
          <w:rFonts w:ascii="等线" w:hAnsi="等线" w:eastAsia="等线"/>
          <w:b w:val="0"/>
          <w:sz w:val="21"/>
          <w:highlight w:val="yellow"/>
        </w:rPr>
        <w:t>[X]</w:t>
      </w:r>
      <w:r>
        <w:rPr>
          <w:rFonts w:ascii="等线" w:hAnsi="等线" w:eastAsia="等线"/>
          <w:b w:val="0"/>
          <w:sz w:val="21"/>
        </w:rPr>
        <w:t>GB。通过数据分析软件对数据进行深度挖掘，以识别潜在的风险指标，如高污染行业贷款违约率较其他行业高出</w:t>
      </w:r>
      <w:r>
        <w:rPr>
          <w:rFonts w:ascii="等线" w:hAnsi="等线" w:eastAsia="等线"/>
          <w:b w:val="0"/>
          <w:sz w:val="21"/>
          <w:highlight w:val="yellow"/>
        </w:rPr>
        <w:t>[X]</w:t>
      </w:r>
      <w:r>
        <w:rPr>
          <w:rFonts w:ascii="等线" w:hAnsi="等线" w:eastAsia="等线"/>
          <w:b w:val="0"/>
          <w:sz w:val="21"/>
        </w:rPr>
        <w:t>个百分点。</w:t>
      </w:r>
    </w:p>
    <w:p>
      <w:pPr>
        <w:jc w:val="left"/>
      </w:pPr>
      <w:r>
        <w:rPr>
          <w:rFonts w:ascii="等线" w:hAnsi="等线" w:eastAsia="等线"/>
          <w:b w:val="0"/>
          <w:sz w:val="21"/>
        </w:rPr>
        <w:t>2. 利益相关者沟通</w:t>
      </w:r>
    </w:p>
    <w:p>
      <w:pPr>
        <w:ind w:left="480"/>
        <w:jc w:val="left"/>
      </w:pPr>
      <w:r>
        <w:rPr>
          <w:rFonts w:ascii="等线" w:hAnsi="等线" w:eastAsia="等线"/>
          <w:b w:val="0"/>
          <w:sz w:val="21"/>
        </w:rPr>
        <w:t>◦ 与外部利益相关者进行广泛的沟通，包括客户、供应商、社区组织等。共组织了</w:t>
      </w:r>
      <w:r>
        <w:rPr>
          <w:rFonts w:ascii="等线" w:hAnsi="等线" w:eastAsia="等线"/>
          <w:b w:val="0"/>
          <w:sz w:val="21"/>
          <w:highlight w:val="yellow"/>
        </w:rPr>
        <w:t>[X]</w:t>
      </w:r>
      <w:r>
        <w:rPr>
          <w:rFonts w:ascii="等线" w:hAnsi="等线" w:eastAsia="等线"/>
          <w:b w:val="0"/>
          <w:sz w:val="21"/>
        </w:rPr>
        <w:t>场沟通会议，收集到</w:t>
      </w:r>
      <w:r>
        <w:rPr>
          <w:rFonts w:ascii="等线" w:hAnsi="等线" w:eastAsia="等线"/>
          <w:b w:val="0"/>
          <w:sz w:val="21"/>
          <w:highlight w:val="yellow"/>
        </w:rPr>
        <w:t>[X]</w:t>
      </w:r>
      <w:r>
        <w:rPr>
          <w:rFonts w:ascii="等线" w:hAnsi="等线" w:eastAsia="等线"/>
          <w:b w:val="0"/>
          <w:sz w:val="21"/>
        </w:rPr>
        <w:t>条关于本行可持续发展方面的意见和建议。例如，社区组织对本行分支机构建设可能带来的环境影响提出了关注，这成为识别环境风险的一个重要信息来源。</w:t>
      </w:r>
    </w:p>
    <w:p>
      <w:pPr>
        <w:jc w:val="left"/>
      </w:pPr>
      <w:r>
        <w:rPr>
          <w:rFonts w:ascii="等线" w:hAnsi="等线" w:eastAsia="等线"/>
          <w:b w:val="0"/>
          <w:sz w:val="21"/>
        </w:rPr>
        <w:t>3. 行业对标与研究</w:t>
      </w:r>
    </w:p>
    <w:p>
      <w:pPr>
        <w:ind w:left="480"/>
        <w:jc w:val="left"/>
      </w:pPr>
      <w:r>
        <w:rPr>
          <w:rFonts w:ascii="等线" w:hAnsi="等线" w:eastAsia="等线"/>
          <w:b w:val="0"/>
          <w:sz w:val="21"/>
        </w:rPr>
        <w:t>◦ 关注国际银行业在可持续发展方面的最佳实践案例，研究了</w:t>
      </w:r>
      <w:r>
        <w:rPr>
          <w:rFonts w:ascii="等线" w:hAnsi="等线" w:eastAsia="等线"/>
          <w:b w:val="0"/>
          <w:sz w:val="21"/>
          <w:highlight w:val="yellow"/>
        </w:rPr>
        <w:t>[X]</w:t>
      </w:r>
      <w:r>
        <w:rPr>
          <w:rFonts w:ascii="等线" w:hAnsi="等线" w:eastAsia="等线"/>
          <w:b w:val="0"/>
          <w:sz w:val="21"/>
        </w:rPr>
        <w:t>家国际领先银行的ESG报告。同时，参与国际银行业协会组织的</w:t>
      </w:r>
      <w:r>
        <w:rPr>
          <w:rFonts w:ascii="等线" w:hAnsi="等线" w:eastAsia="等线"/>
          <w:b w:val="0"/>
          <w:sz w:val="21"/>
          <w:highlight w:val="yellow"/>
        </w:rPr>
        <w:t>[X]</w:t>
      </w:r>
      <w:r>
        <w:rPr>
          <w:rFonts w:ascii="等线" w:hAnsi="等线" w:eastAsia="等线"/>
          <w:b w:val="0"/>
          <w:sz w:val="21"/>
        </w:rPr>
        <w:t>次可持续发展相关研讨活动，以识别本行在可持续发展方面与国际先进水平的差距，进而发现潜在的风险和负面因素。</w:t>
      </w:r>
    </w:p>
    <w:p>
      <w:pPr>
        <w:jc w:val="left"/>
      </w:pPr>
      <w:r>
        <w:rPr>
          <w:rFonts w:ascii="等线" w:hAnsi="等线" w:eastAsia="等线"/>
          <w:b w:val="0"/>
          <w:sz w:val="21"/>
        </w:rPr>
        <w:t>四、应对相关负面影响和风险的具体情况</w:t>
      </w:r>
    </w:p>
    <w:p>
      <w:pPr>
        <w:jc w:val="left"/>
      </w:pPr>
      <w:r>
        <w:rPr>
          <w:rFonts w:ascii="等线" w:hAnsi="等线" w:eastAsia="等线"/>
          <w:b w:val="0"/>
          <w:sz w:val="21"/>
        </w:rPr>
        <w:t>1. 环境风险应对</w:t>
      </w:r>
    </w:p>
    <w:p>
      <w:pPr>
        <w:ind w:left="480"/>
        <w:jc w:val="left"/>
      </w:pPr>
      <w:r>
        <w:rPr>
          <w:rFonts w:ascii="等线" w:hAnsi="等线" w:eastAsia="等线"/>
          <w:b w:val="0"/>
          <w:sz w:val="21"/>
        </w:rPr>
        <w:t>◦ 对于高污染、高能耗行业的贷款，制定了更为严格的信贷审批标准。报告期内，高污染行业新增贷款较上一年度减少了</w:t>
      </w:r>
      <w:r>
        <w:rPr>
          <w:rFonts w:ascii="等线" w:hAnsi="等线" w:eastAsia="等线"/>
          <w:b w:val="0"/>
          <w:sz w:val="21"/>
          <w:highlight w:val="yellow"/>
        </w:rPr>
        <w:t>[X]</w:t>
      </w:r>
      <w:r>
        <w:rPr>
          <w:rFonts w:ascii="等线" w:hAnsi="等线" w:eastAsia="等线"/>
          <w:b w:val="0"/>
          <w:sz w:val="21"/>
        </w:rPr>
        <w:t>%。同时，加大对绿色金融的支持力度，绿色信贷余额增长了</w:t>
      </w:r>
      <w:r>
        <w:rPr>
          <w:rFonts w:ascii="等线" w:hAnsi="等线" w:eastAsia="等线"/>
          <w:b w:val="0"/>
          <w:sz w:val="21"/>
          <w:highlight w:val="yellow"/>
        </w:rPr>
        <w:t>[X]</w:t>
      </w:r>
      <w:r>
        <w:rPr>
          <w:rFonts w:ascii="等线" w:hAnsi="等线" w:eastAsia="等线"/>
          <w:b w:val="0"/>
          <w:sz w:val="21"/>
        </w:rPr>
        <w:t>%，达到</w:t>
      </w:r>
      <w:r>
        <w:rPr>
          <w:rFonts w:ascii="等线" w:hAnsi="等线" w:eastAsia="等线"/>
          <w:b w:val="0"/>
          <w:sz w:val="21"/>
          <w:highlight w:val="yellow"/>
        </w:rPr>
        <w:t>[X]</w:t>
      </w:r>
      <w:r>
        <w:rPr>
          <w:rFonts w:ascii="等线" w:hAnsi="等线" w:eastAsia="等线"/>
          <w:b w:val="0"/>
          <w:sz w:val="21"/>
        </w:rPr>
        <w:t>亿美元。</w:t>
      </w:r>
    </w:p>
    <w:p>
      <w:pPr>
        <w:ind w:left="480"/>
        <w:jc w:val="left"/>
      </w:pPr>
      <w:r>
        <w:rPr>
          <w:rFonts w:ascii="等线" w:hAnsi="等线" w:eastAsia="等线"/>
          <w:b w:val="0"/>
          <w:sz w:val="21"/>
        </w:rPr>
        <w:t>◦ 在本行办公场所及分支机构推行节能减排措施，通过设备升级改造，预计可降低电力消耗</w:t>
      </w:r>
      <w:r>
        <w:rPr>
          <w:rFonts w:ascii="等线" w:hAnsi="等线" w:eastAsia="等线"/>
          <w:b w:val="0"/>
          <w:sz w:val="21"/>
          <w:highlight w:val="yellow"/>
        </w:rPr>
        <w:t>[X]</w:t>
      </w:r>
      <w:r>
        <w:rPr>
          <w:rFonts w:ascii="等线" w:hAnsi="等线" w:eastAsia="等线"/>
          <w:b w:val="0"/>
          <w:sz w:val="21"/>
        </w:rPr>
        <w:t>%，水资源消耗</w:t>
      </w:r>
      <w:r>
        <w:rPr>
          <w:rFonts w:ascii="等线" w:hAnsi="等线" w:eastAsia="等线"/>
          <w:b w:val="0"/>
          <w:sz w:val="21"/>
          <w:highlight w:val="yellow"/>
        </w:rPr>
        <w:t>[X]</w:t>
      </w:r>
      <w:r>
        <w:rPr>
          <w:rFonts w:ascii="等线" w:hAnsi="等线" w:eastAsia="等线"/>
          <w:b w:val="0"/>
          <w:sz w:val="21"/>
        </w:rPr>
        <w:t>%，并减少碳排放</w:t>
      </w:r>
      <w:r>
        <w:rPr>
          <w:rFonts w:ascii="等线" w:hAnsi="等线" w:eastAsia="等线"/>
          <w:b w:val="0"/>
          <w:sz w:val="21"/>
          <w:highlight w:val="yellow"/>
        </w:rPr>
        <w:t>[X]</w:t>
      </w:r>
      <w:r>
        <w:rPr>
          <w:rFonts w:ascii="等线" w:hAnsi="等线" w:eastAsia="等线"/>
          <w:b w:val="0"/>
          <w:sz w:val="21"/>
        </w:rPr>
        <w:t>吨二氧化碳当量。</w:t>
      </w:r>
    </w:p>
    <w:p>
      <w:pPr>
        <w:jc w:val="left"/>
      </w:pPr>
      <w:r>
        <w:rPr>
          <w:rFonts w:ascii="等线" w:hAnsi="等线" w:eastAsia="等线"/>
          <w:b w:val="0"/>
          <w:sz w:val="21"/>
        </w:rPr>
        <w:t>2. 社会风险应对</w:t>
      </w:r>
    </w:p>
    <w:p>
      <w:pPr>
        <w:ind w:left="480"/>
        <w:jc w:val="left"/>
      </w:pPr>
      <w:r>
        <w:rPr>
          <w:rFonts w:ascii="等线" w:hAnsi="等线" w:eastAsia="等线"/>
          <w:b w:val="0"/>
          <w:sz w:val="21"/>
        </w:rPr>
        <w:t>◦ 建立了更加完善的客户投诉处理机制，客户投诉处理平均时长缩短了</w:t>
      </w:r>
      <w:r>
        <w:rPr>
          <w:rFonts w:ascii="等线" w:hAnsi="等线" w:eastAsia="等线"/>
          <w:b w:val="0"/>
          <w:sz w:val="21"/>
          <w:highlight w:val="yellow"/>
        </w:rPr>
        <w:t>[X]</w:t>
      </w:r>
      <w:r>
        <w:rPr>
          <w:rFonts w:ascii="等线" w:hAnsi="等线" w:eastAsia="等线"/>
          <w:b w:val="0"/>
          <w:sz w:val="21"/>
        </w:rPr>
        <w:t>%，处理满意度较上一年度提高了</w:t>
      </w:r>
      <w:r>
        <w:rPr>
          <w:rFonts w:ascii="等线" w:hAnsi="等线" w:eastAsia="等线"/>
          <w:b w:val="0"/>
          <w:sz w:val="21"/>
          <w:highlight w:val="yellow"/>
        </w:rPr>
        <w:t>[X]</w:t>
      </w:r>
      <w:r>
        <w:rPr>
          <w:rFonts w:ascii="等线" w:hAnsi="等线" w:eastAsia="等线"/>
          <w:b w:val="0"/>
          <w:sz w:val="21"/>
        </w:rPr>
        <w:t>个百分点。</w:t>
      </w:r>
    </w:p>
    <w:p>
      <w:pPr>
        <w:ind w:left="480"/>
        <w:jc w:val="left"/>
      </w:pPr>
      <w:r>
        <w:rPr>
          <w:rFonts w:ascii="等线" w:hAnsi="等线" w:eastAsia="等线"/>
          <w:b w:val="0"/>
          <w:sz w:val="21"/>
        </w:rPr>
        <w:t>◦ 加强员工权益保障，员工薪酬平均涨幅达</w:t>
      </w:r>
      <w:r>
        <w:rPr>
          <w:rFonts w:ascii="等线" w:hAnsi="等线" w:eastAsia="等线"/>
          <w:b w:val="0"/>
          <w:sz w:val="21"/>
          <w:highlight w:val="yellow"/>
        </w:rPr>
        <w:t>[X]</w:t>
      </w:r>
      <w:r>
        <w:rPr>
          <w:rFonts w:ascii="等线" w:hAnsi="等线" w:eastAsia="等线"/>
          <w:b w:val="0"/>
          <w:sz w:val="21"/>
        </w:rPr>
        <w:t>%，员工培训投入较上一年度增长了</w:t>
      </w:r>
      <w:r>
        <w:rPr>
          <w:rFonts w:ascii="等线" w:hAnsi="等线" w:eastAsia="等线"/>
          <w:b w:val="0"/>
          <w:sz w:val="21"/>
          <w:highlight w:val="yellow"/>
        </w:rPr>
        <w:t>[X]</w:t>
      </w:r>
      <w:r>
        <w:rPr>
          <w:rFonts w:ascii="等线" w:hAnsi="等线" w:eastAsia="等线"/>
          <w:b w:val="0"/>
          <w:sz w:val="21"/>
        </w:rPr>
        <w:t>%，进一步提升员工的职业发展机会。</w:t>
      </w:r>
    </w:p>
    <w:p>
      <w:pPr>
        <w:jc w:val="left"/>
      </w:pPr>
      <w:r>
        <w:rPr>
          <w:rFonts w:ascii="等线" w:hAnsi="等线" w:eastAsia="等线"/>
          <w:b w:val="0"/>
          <w:sz w:val="21"/>
        </w:rPr>
        <w:t>3. 公司治理风险应对</w:t>
      </w:r>
    </w:p>
    <w:p>
      <w:pPr>
        <w:ind w:left="480"/>
        <w:jc w:val="left"/>
      </w:pPr>
      <w:r>
        <w:rPr>
          <w:rFonts w:ascii="等线" w:hAnsi="等线" w:eastAsia="等线"/>
          <w:b w:val="0"/>
          <w:sz w:val="21"/>
        </w:rPr>
        <w:t>◦ 完善关联交易管理制度，明确关联交易的审批流程和信息披露要求。报告期内，关联交易的透明度得到显著提升，关联交易金额占总资产的比例下降了</w:t>
      </w:r>
      <w:r>
        <w:rPr>
          <w:rFonts w:ascii="等线" w:hAnsi="等线" w:eastAsia="等线"/>
          <w:b w:val="0"/>
          <w:sz w:val="21"/>
          <w:highlight w:val="yellow"/>
        </w:rPr>
        <w:t>[X]</w:t>
      </w:r>
      <w:r>
        <w:rPr>
          <w:rFonts w:ascii="等线" w:hAnsi="等线" w:eastAsia="等线"/>
          <w:b w:val="0"/>
          <w:sz w:val="21"/>
        </w:rPr>
        <w:t>个百分点。</w:t>
      </w:r>
    </w:p>
    <w:p>
      <w:pPr>
        <w:pStyle w:val="Heading2"/>
      </w:pPr>
      <w:r>
        <w:rPr>
          <w:rFonts w:ascii="等线" w:hAnsi="等线" w:eastAsia="等线"/>
          <w:color w:val="000000"/>
          <w:sz w:val="32"/>
        </w:rPr>
        <w:t>利益相关方沟通</w:t>
      </w:r>
    </w:p>
    <w:p>
      <w:pPr>
        <w:jc w:val="left"/>
      </w:pPr>
      <w:r>
        <w:rPr>
          <w:rFonts w:ascii="等线" w:hAnsi="等线" w:eastAsia="等线"/>
          <w:b w:val="0"/>
          <w:sz w:val="21"/>
        </w:rPr>
        <w:t>在本报告期内，本大型国有银行业企业积极开展与包括投资者在内的利益相关方的沟通工作，以下为具体情况：</w:t>
      </w:r>
    </w:p>
    <w:p>
      <w:pPr>
        <w:jc w:val="left"/>
      </w:pPr>
      <w:r>
        <w:rPr>
          <w:rFonts w:ascii="等线" w:hAnsi="等线" w:eastAsia="等线"/>
          <w:b w:val="0"/>
          <w:sz w:val="21"/>
        </w:rPr>
        <w:t>一、利益相关方沟通制度的建设、执行情况</w:t>
      </w:r>
    </w:p>
    <w:p>
      <w:pPr>
        <w:jc w:val="left"/>
      </w:pPr>
      <w:r>
        <w:rPr>
          <w:rFonts w:ascii="等线" w:hAnsi="等线" w:eastAsia="等线"/>
          <w:b w:val="0"/>
          <w:sz w:val="21"/>
        </w:rPr>
        <w:t>1. 制度建设</w:t>
      </w:r>
    </w:p>
    <w:p>
      <w:pPr>
        <w:ind w:left="480"/>
        <w:jc w:val="left"/>
      </w:pPr>
      <w:r>
        <w:rPr>
          <w:rFonts w:ascii="等线" w:hAnsi="等线" w:eastAsia="等线"/>
          <w:b w:val="0"/>
          <w:sz w:val="21"/>
        </w:rPr>
        <w:t>◦ 本银行建立了完善的利益相关方沟通制度体系。该制度明确规定了利益相关方的范围，涵盖投资者、客户、员工、监管机构、社区等。制度中详细阐述了针对不同利益相关方的沟通原则、目标和策略，以确保沟通的有效性和针对性。</w:t>
      </w:r>
    </w:p>
    <w:p>
      <w:pPr>
        <w:ind w:left="480"/>
        <w:jc w:val="left"/>
      </w:pPr>
      <w:r>
        <w:rPr>
          <w:rFonts w:ascii="等线" w:hAnsi="等线" w:eastAsia="等线"/>
          <w:b w:val="0"/>
          <w:sz w:val="21"/>
        </w:rPr>
        <w:t>◦ 在沟通流程方面，制度设定了标准化的流程，包括信息收集、整理、传递和反馈环节。例如，对于投资者关系管理，规定在每个季度财报发布后的特定时间段内（通常为财报发布后的10个工作日内），必须安排专门的投资者沟通会议或电话会议。</w:t>
      </w:r>
    </w:p>
    <w:p>
      <w:pPr>
        <w:ind w:left="480"/>
        <w:jc w:val="left"/>
      </w:pPr>
      <w:r>
        <w:rPr>
          <w:rFonts w:ascii="等线" w:hAnsi="等线" w:eastAsia="等线"/>
          <w:b w:val="0"/>
          <w:sz w:val="21"/>
        </w:rPr>
        <w:t>◦ 为保障沟通制度的有效实施，还建立了相应的监督和评估机制。每半年对利益相关方沟通工作进行内部审查，审查内容包括沟通活动的执行情况、反馈意见的处理情况等。审查结果将作为相关部门绩效考核的重要指标之一，占部门年度绩效评估总分的15%。</w:t>
      </w:r>
    </w:p>
    <w:p>
      <w:pPr>
        <w:jc w:val="left"/>
      </w:pPr>
      <w:r>
        <w:rPr>
          <w:rFonts w:ascii="等线" w:hAnsi="等线" w:eastAsia="等线"/>
          <w:b w:val="0"/>
          <w:sz w:val="21"/>
        </w:rPr>
        <w:t>2. 执行情况</w:t>
      </w:r>
    </w:p>
    <w:p>
      <w:pPr>
        <w:ind w:left="480"/>
        <w:jc w:val="left"/>
      </w:pPr>
      <w:r>
        <w:rPr>
          <w:rFonts w:ascii="等线" w:hAnsi="等线" w:eastAsia="等线"/>
          <w:b w:val="0"/>
          <w:sz w:val="21"/>
        </w:rPr>
        <w:t>◦ 在投资者沟通方面，严格按照既定制度执行。本报告期内，共举办了4次大型投资者沟通会议，分别在财报发布后的规定时间内进行。此外，还不定期地与重要投资者进行一对一的电话会议或面谈，累计达20余次。每次会议或面谈前，都会精心准备相关资料，资料内容涵盖银行的财务状况、业务发展战略、风险管理等方面的详细信息，平均每份资料厚度达30页左右。</w:t>
      </w:r>
    </w:p>
    <w:p>
      <w:pPr>
        <w:ind w:left="480"/>
        <w:jc w:val="left"/>
      </w:pPr>
      <w:r>
        <w:rPr>
          <w:rFonts w:ascii="等线" w:hAnsi="等线" w:eastAsia="等线"/>
          <w:b w:val="0"/>
          <w:sz w:val="21"/>
        </w:rPr>
        <w:t>◦ 对于客户沟通，通过多种渠道执行沟通制度。例如，在全国范围内的</w:t>
      </w:r>
      <w:r>
        <w:rPr>
          <w:rFonts w:ascii="等线" w:hAnsi="等线" w:eastAsia="等线"/>
          <w:b w:val="0"/>
          <w:sz w:val="21"/>
          <w:highlight w:val="yellow"/>
        </w:rPr>
        <w:t>[X]</w:t>
      </w:r>
      <w:r>
        <w:rPr>
          <w:rFonts w:ascii="等线" w:hAnsi="等线" w:eastAsia="等线"/>
          <w:b w:val="0"/>
          <w:sz w:val="21"/>
        </w:rPr>
        <w:t>个营业网点，每天安排专门的客户服务人员解答客户疑问。同时，本银行的客服热线保持24小时畅通，报告期内共接听客户来电</w:t>
      </w:r>
      <w:r>
        <w:rPr>
          <w:rFonts w:ascii="等线" w:hAnsi="等线" w:eastAsia="等线"/>
          <w:b w:val="0"/>
          <w:sz w:val="21"/>
          <w:highlight w:val="yellow"/>
        </w:rPr>
        <w:t>[X]</w:t>
      </w:r>
      <w:r>
        <w:rPr>
          <w:rFonts w:ascii="等线" w:hAnsi="等线" w:eastAsia="等线"/>
          <w:b w:val="0"/>
          <w:sz w:val="21"/>
        </w:rPr>
        <w:t>次，平均应答时长控制在30秒以内，客户满意度达到90%以上。</w:t>
      </w:r>
    </w:p>
    <w:p>
      <w:pPr>
        <w:ind w:left="480"/>
        <w:jc w:val="left"/>
      </w:pPr>
      <w:r>
        <w:rPr>
          <w:rFonts w:ascii="等线" w:hAnsi="等线" w:eastAsia="等线"/>
          <w:b w:val="0"/>
          <w:sz w:val="21"/>
        </w:rPr>
        <w:t>◦ 在与员工的沟通方面，按照制度规定，每月至少开展一次部门内部沟通会议，每季度至少进行一次全行范围的员工大会或者线上沟通会。本报告期内，全行范围的沟通会共举办了4次，部门内部沟通会议累计达</w:t>
      </w:r>
      <w:r>
        <w:rPr>
          <w:rFonts w:ascii="等线" w:hAnsi="等线" w:eastAsia="等线"/>
          <w:b w:val="0"/>
          <w:sz w:val="21"/>
          <w:highlight w:val="yellow"/>
        </w:rPr>
        <w:t>[X]</w:t>
      </w:r>
      <w:r>
        <w:rPr>
          <w:rFonts w:ascii="等线" w:hAnsi="等线" w:eastAsia="等线"/>
          <w:b w:val="0"/>
          <w:sz w:val="21"/>
        </w:rPr>
        <w:t>次，确保员工能够及时了解银行的发展战略、政策调整等信息。</w:t>
      </w:r>
    </w:p>
    <w:p>
      <w:pPr>
        <w:jc w:val="left"/>
      </w:pPr>
      <w:r>
        <w:rPr>
          <w:rFonts w:ascii="等线" w:hAnsi="等线" w:eastAsia="等线"/>
          <w:b w:val="0"/>
          <w:sz w:val="21"/>
        </w:rPr>
        <w:t>二、听取、反馈利益相关方意见建议的渠道及执行情况</w:t>
      </w:r>
    </w:p>
    <w:p>
      <w:pPr>
        <w:jc w:val="left"/>
      </w:pPr>
      <w:r>
        <w:rPr>
          <w:rFonts w:ascii="等线" w:hAnsi="等线" w:eastAsia="等线"/>
          <w:b w:val="0"/>
          <w:sz w:val="21"/>
        </w:rPr>
        <w:t>1. 沟通方式</w:t>
      </w:r>
    </w:p>
    <w:p>
      <w:pPr>
        <w:ind w:left="480"/>
        <w:jc w:val="left"/>
      </w:pPr>
      <w:r>
        <w:rPr>
          <w:rFonts w:ascii="等线" w:hAnsi="等线" w:eastAsia="等线"/>
          <w:b w:val="0"/>
          <w:sz w:val="21"/>
        </w:rPr>
        <w:t>◦ 对于投资者，除了上述提到的会议和电话沟通方式外，还通过官方网站投资者关系板块、电子邮件等方式进行沟通。本报告期内，通过官方网站投资者关系板块共发布了</w:t>
      </w:r>
      <w:r>
        <w:rPr>
          <w:rFonts w:ascii="等线" w:hAnsi="等线" w:eastAsia="等线"/>
          <w:b w:val="0"/>
          <w:sz w:val="21"/>
          <w:highlight w:val="yellow"/>
        </w:rPr>
        <w:t>[X]</w:t>
      </w:r>
      <w:r>
        <w:rPr>
          <w:rFonts w:ascii="等线" w:hAnsi="等线" w:eastAsia="等线"/>
          <w:b w:val="0"/>
          <w:sz w:val="21"/>
        </w:rPr>
        <w:t>条重要信息，回复投资者电子邮件</w:t>
      </w:r>
      <w:r>
        <w:rPr>
          <w:rFonts w:ascii="等线" w:hAnsi="等线" w:eastAsia="等线"/>
          <w:b w:val="0"/>
          <w:sz w:val="21"/>
          <w:highlight w:val="yellow"/>
        </w:rPr>
        <w:t>[X]</w:t>
      </w:r>
      <w:r>
        <w:rPr>
          <w:rFonts w:ascii="等线" w:hAnsi="等线" w:eastAsia="等线"/>
          <w:b w:val="0"/>
          <w:sz w:val="21"/>
        </w:rPr>
        <w:t>封，平均回复时长为2个工作日。</w:t>
      </w:r>
    </w:p>
    <w:p>
      <w:pPr>
        <w:ind w:left="480"/>
        <w:jc w:val="left"/>
      </w:pPr>
      <w:r>
        <w:rPr>
          <w:rFonts w:ascii="等线" w:hAnsi="等线" w:eastAsia="等线"/>
          <w:b w:val="0"/>
          <w:sz w:val="21"/>
        </w:rPr>
        <w:t>◦ 客户沟通方式多元化，包括营业网点面对面交流、客服热线、手机银行APP在线客服、客户满意度调查等。其中，手机银行APP在线客服的月均咨询量为</w:t>
      </w:r>
      <w:r>
        <w:rPr>
          <w:rFonts w:ascii="等线" w:hAnsi="等线" w:eastAsia="等线"/>
          <w:b w:val="0"/>
          <w:sz w:val="21"/>
          <w:highlight w:val="yellow"/>
        </w:rPr>
        <w:t>[X]</w:t>
      </w:r>
      <w:r>
        <w:rPr>
          <w:rFonts w:ascii="等线" w:hAnsi="等线" w:eastAsia="等线"/>
          <w:b w:val="0"/>
          <w:sz w:val="21"/>
        </w:rPr>
        <w:t>次，回复准确率达到95%以上。</w:t>
      </w:r>
    </w:p>
    <w:p>
      <w:pPr>
        <w:ind w:left="480"/>
        <w:jc w:val="left"/>
      </w:pPr>
      <w:r>
        <w:rPr>
          <w:rFonts w:ascii="等线" w:hAnsi="等线" w:eastAsia="等线"/>
          <w:b w:val="0"/>
          <w:sz w:val="21"/>
        </w:rPr>
        <w:t>◦ 员工沟通除了会议形式外，还设有专门的内部意见箱（线上和线下）、内部论坛等渠道。本报告期内，通过内部意见箱共收集到员工意见和建议</w:t>
      </w:r>
      <w:r>
        <w:rPr>
          <w:rFonts w:ascii="等线" w:hAnsi="等线" w:eastAsia="等线"/>
          <w:b w:val="0"/>
          <w:sz w:val="21"/>
          <w:highlight w:val="yellow"/>
        </w:rPr>
        <w:t>[X]</w:t>
      </w:r>
      <w:r>
        <w:rPr>
          <w:rFonts w:ascii="等线" w:hAnsi="等线" w:eastAsia="等线"/>
          <w:b w:val="0"/>
          <w:sz w:val="21"/>
        </w:rPr>
        <w:t>条，内部论坛的月均活跃用户数达到全行员工总数的30%。</w:t>
      </w:r>
    </w:p>
    <w:p>
      <w:pPr>
        <w:jc w:val="left"/>
      </w:pPr>
      <w:r>
        <w:rPr>
          <w:rFonts w:ascii="等线" w:hAnsi="等线" w:eastAsia="等线"/>
          <w:b w:val="0"/>
          <w:sz w:val="21"/>
        </w:rPr>
        <w:t>2. 沟通频率</w:t>
      </w:r>
    </w:p>
    <w:p>
      <w:pPr>
        <w:ind w:left="480"/>
        <w:jc w:val="left"/>
      </w:pPr>
      <w:r>
        <w:rPr>
          <w:rFonts w:ascii="等线" w:hAnsi="等线" w:eastAsia="等线"/>
          <w:b w:val="0"/>
          <w:sz w:val="21"/>
        </w:rPr>
        <w:t>◦ 投资者方面，除定期的财报沟通会议外，根据市场动态和投资者需求，不定期地增加沟通频率。如在重大业务调整或战略转型期间，会在一个月内增加2 - 3次与投资者的沟通会议。</w:t>
      </w:r>
    </w:p>
    <w:p>
      <w:pPr>
        <w:ind w:left="480"/>
        <w:jc w:val="left"/>
      </w:pPr>
      <w:r>
        <w:rPr>
          <w:rFonts w:ascii="等线" w:hAnsi="等线" w:eastAsia="等线"/>
          <w:b w:val="0"/>
          <w:sz w:val="21"/>
        </w:rPr>
        <w:t>◦ 客户方面，营业网点的日常沟通随时进行，客服热线和手机银行APP在线客服保持实时响应。客户满意度调查每年进行两次，以全面了解客户需求和意见。</w:t>
      </w:r>
    </w:p>
    <w:p>
      <w:pPr>
        <w:ind w:left="480"/>
        <w:jc w:val="left"/>
      </w:pPr>
      <w:r>
        <w:rPr>
          <w:rFonts w:ascii="等线" w:hAnsi="等线" w:eastAsia="等线"/>
          <w:b w:val="0"/>
          <w:sz w:val="21"/>
        </w:rPr>
        <w:t>◦ 员工方面，如前文所述，部门内部沟通会议每月至少一次，全行范围沟通会每季度至少一次，内部论坛则随时可供员工交流互动。</w:t>
      </w:r>
    </w:p>
    <w:p>
      <w:pPr>
        <w:jc w:val="left"/>
      </w:pPr>
      <w:r>
        <w:rPr>
          <w:rFonts w:ascii="等线" w:hAnsi="等线" w:eastAsia="等线"/>
          <w:b w:val="0"/>
          <w:sz w:val="21"/>
        </w:rPr>
        <w:t>3. 沟通内容</w:t>
      </w:r>
    </w:p>
    <w:p>
      <w:pPr>
        <w:ind w:left="480"/>
        <w:jc w:val="left"/>
      </w:pPr>
      <w:r>
        <w:rPr>
          <w:rFonts w:ascii="等线" w:hAnsi="等线" w:eastAsia="等线"/>
          <w:b w:val="0"/>
          <w:sz w:val="21"/>
        </w:rPr>
        <w:t>◦ 与投资者沟通的内容主要围绕银行的财务业绩、业务战略、风险管理、行业竞争态势等。例如，在财报沟通会议上，详细解读财务指标的变化原因，如本报告期内净利润增长</w:t>
      </w:r>
      <w:r>
        <w:rPr>
          <w:rFonts w:ascii="等线" w:hAnsi="等线" w:eastAsia="等线"/>
          <w:b w:val="0"/>
          <w:sz w:val="21"/>
          <w:highlight w:val="yellow"/>
        </w:rPr>
        <w:t>[X]</w:t>
      </w:r>
      <w:r>
        <w:rPr>
          <w:rFonts w:ascii="等线" w:hAnsi="等线" w:eastAsia="等线"/>
          <w:b w:val="0"/>
          <w:sz w:val="21"/>
        </w:rPr>
        <w:t>%的驱动因素，包括净利息收入增长</w:t>
      </w:r>
      <w:r>
        <w:rPr>
          <w:rFonts w:ascii="等线" w:hAnsi="等线" w:eastAsia="等线"/>
          <w:b w:val="0"/>
          <w:sz w:val="21"/>
          <w:highlight w:val="yellow"/>
        </w:rPr>
        <w:t>[X]</w:t>
      </w:r>
      <w:r>
        <w:rPr>
          <w:rFonts w:ascii="等线" w:hAnsi="等线" w:eastAsia="等线"/>
          <w:b w:val="0"/>
          <w:sz w:val="21"/>
        </w:rPr>
        <w:t>%、非利息收入增长</w:t>
      </w:r>
      <w:r>
        <w:rPr>
          <w:rFonts w:ascii="等线" w:hAnsi="等线" w:eastAsia="等线"/>
          <w:b w:val="0"/>
          <w:sz w:val="21"/>
          <w:highlight w:val="yellow"/>
        </w:rPr>
        <w:t>[X]</w:t>
      </w:r>
      <w:r>
        <w:rPr>
          <w:rFonts w:ascii="等线" w:hAnsi="等线" w:eastAsia="等线"/>
          <w:b w:val="0"/>
          <w:sz w:val="21"/>
        </w:rPr>
        <w:t>%等具体数据的分析。</w:t>
      </w:r>
    </w:p>
    <w:p>
      <w:pPr>
        <w:ind w:left="480"/>
        <w:jc w:val="left"/>
      </w:pPr>
      <w:r>
        <w:rPr>
          <w:rFonts w:ascii="等线" w:hAnsi="等线" w:eastAsia="等线"/>
          <w:b w:val="0"/>
          <w:sz w:val="21"/>
        </w:rPr>
        <w:t>◦ 客户沟通内容侧重于产品和服务的优化。通过客户满意度调查收集客户对产品功能、服务质量、手续费等方面的意见。例如，根据客户反馈，对某款理财产品的收益率计算方式进行了优化，使产品更具透明度和竞争力。</w:t>
      </w:r>
    </w:p>
    <w:p>
      <w:pPr>
        <w:ind w:left="480"/>
        <w:jc w:val="left"/>
      </w:pPr>
      <w:r>
        <w:rPr>
          <w:rFonts w:ascii="等线" w:hAnsi="等线" w:eastAsia="等线"/>
          <w:b w:val="0"/>
          <w:sz w:val="21"/>
        </w:rPr>
        <w:t>◦ 员工沟通内容涉及职业发展、工作环境、福利待遇等。例如，根据员工意见，本报告期内对员工培训体系进行了调整，增加了</w:t>
      </w:r>
      <w:r>
        <w:rPr>
          <w:rFonts w:ascii="等线" w:hAnsi="等线" w:eastAsia="等线"/>
          <w:b w:val="0"/>
          <w:sz w:val="21"/>
          <w:highlight w:val="yellow"/>
        </w:rPr>
        <w:t>[X]</w:t>
      </w:r>
      <w:r>
        <w:rPr>
          <w:rFonts w:ascii="等线" w:hAnsi="等线" w:eastAsia="等线"/>
          <w:b w:val="0"/>
          <w:sz w:val="21"/>
        </w:rPr>
        <w:t>个专业技能培训课程，以满足员工提升自身能力的需求。</w:t>
      </w:r>
    </w:p>
    <w:p>
      <w:pPr>
        <w:pStyle w:val="Heading2"/>
      </w:pPr>
      <w:r>
        <w:rPr>
          <w:rFonts w:ascii="等线" w:hAnsi="等线" w:eastAsia="等线"/>
          <w:color w:val="000000"/>
          <w:sz w:val="32"/>
        </w:rPr>
        <w:t>反商业贿赂及反贪污</w:t>
      </w:r>
    </w:p>
    <w:p>
      <w:pPr>
        <w:jc w:val="left"/>
      </w:pPr>
      <w:r>
        <w:rPr>
          <w:rFonts w:ascii="等线" w:hAnsi="等线" w:eastAsia="等线"/>
          <w:b w:val="0"/>
          <w:sz w:val="21"/>
        </w:rPr>
        <w:t>一、反商业贿赂及反贪污风险管理制度体系建立与运行情况、举报者保护政策</w:t>
      </w:r>
    </w:p>
    <w:p>
      <w:pPr>
        <w:jc w:val="left"/>
      </w:pPr>
      <w:r>
        <w:rPr>
          <w:rFonts w:ascii="等线" w:hAnsi="等线" w:eastAsia="等线"/>
          <w:b w:val="0"/>
          <w:sz w:val="21"/>
        </w:rPr>
        <w:t>本银行高度重视反商业贿赂及反贪污工作，建立了完善的风险管理制度体系。该体系涵盖了从预防、监测到应对的全流程管理。</w:t>
      </w:r>
    </w:p>
    <w:p>
      <w:pPr>
        <w:jc w:val="left"/>
      </w:pPr>
      <w:r>
        <w:rPr>
          <w:rFonts w:ascii="等线" w:hAnsi="等线" w:eastAsia="等线"/>
          <w:b w:val="0"/>
          <w:sz w:val="21"/>
        </w:rPr>
        <w:t>在预防方面，制定了明确的行为准则，详细规定了禁止商业贿赂和贪污行为的具体情形，包括但不限于礼品收受限制、利益冲突处理等。在监测环节，内部审计部门定期开展专项审计，对可能存在的商业贿赂和贪污风险点进行排查。一旦发现可疑情况，立即启动调查程序。</w:t>
      </w:r>
    </w:p>
    <w:p>
      <w:pPr>
        <w:jc w:val="left"/>
      </w:pPr>
      <w:r>
        <w:rPr>
          <w:rFonts w:ascii="等线" w:hAnsi="等线" w:eastAsia="等线"/>
          <w:b w:val="0"/>
          <w:sz w:val="21"/>
        </w:rPr>
        <w:t>同时，本银行建立了举报者保护政策。明确规定对举报者的身份信息严格保密，禁止任何形式的报复行为。设立了专门的举报渠道，包括热线电话、电子邮箱等，确保举报者能够方便、安全地提供线索。</w:t>
      </w:r>
    </w:p>
    <w:p>
      <w:pPr>
        <w:jc w:val="left"/>
      </w:pPr>
      <w:r>
        <w:rPr>
          <w:rFonts w:ascii="等线" w:hAnsi="等线" w:eastAsia="等线"/>
          <w:b w:val="0"/>
          <w:sz w:val="21"/>
        </w:rPr>
        <w:t>二、商业贿赂及贪污风险评估情况</w:t>
      </w:r>
    </w:p>
    <w:p>
      <w:pPr>
        <w:jc w:val="left"/>
      </w:pPr>
      <w:r>
        <w:rPr>
          <w:rFonts w:ascii="等线" w:hAnsi="等线" w:eastAsia="等线"/>
          <w:b w:val="0"/>
          <w:sz w:val="21"/>
        </w:rPr>
        <w:t>每年，本银行都会开展商业贿赂及贪污风险评估工作。评估范围覆盖银行的各个业务板块，包括信贷业务、金融市场业务、中间业务等。</w:t>
      </w:r>
    </w:p>
    <w:p>
      <w:pPr>
        <w:jc w:val="left"/>
      </w:pPr>
      <w:r>
        <w:rPr>
          <w:rFonts w:ascii="等线" w:hAnsi="等线" w:eastAsia="等线"/>
          <w:b w:val="0"/>
          <w:sz w:val="21"/>
        </w:rPr>
        <w:t>我们采用定性与定量相结合的评估方法。从定性角度，分析业务流程中的关键控制点，识别可能存在的风险因素，如交易对手的诚信状况、业务操作的透明度等。在定量方面，统计涉及高风险业务的金额、交易笔数等指标，并计算风险发生的概率。</w:t>
      </w:r>
    </w:p>
    <w:p>
      <w:pPr>
        <w:jc w:val="left"/>
      </w:pPr>
      <w:r>
        <w:rPr>
          <w:rFonts w:ascii="等线" w:hAnsi="等线" w:eastAsia="等线"/>
          <w:b w:val="0"/>
          <w:sz w:val="21"/>
        </w:rPr>
        <w:t>例如，在信贷业务中，我们统计了高风险贷款项目的占比，发现</w:t>
      </w:r>
      <w:r>
        <w:rPr>
          <w:rFonts w:ascii="等线" w:hAnsi="等线" w:eastAsia="等线"/>
          <w:b w:val="0"/>
          <w:sz w:val="21"/>
          <w:highlight w:val="yellow"/>
        </w:rPr>
        <w:t>[X]</w:t>
      </w:r>
      <w:r>
        <w:rPr>
          <w:rFonts w:ascii="等线" w:hAnsi="等线" w:eastAsia="等线"/>
          <w:b w:val="0"/>
          <w:sz w:val="21"/>
        </w:rPr>
        <w:t>%的贷款项目存在一定程度的商业贿赂或贪污风险因素。基于此评估结果，我们针对性地加强了对这些项目的审查和监督。</w:t>
      </w:r>
    </w:p>
    <w:p>
      <w:pPr>
        <w:jc w:val="left"/>
      </w:pPr>
      <w:r>
        <w:rPr>
          <w:rFonts w:ascii="等线" w:hAnsi="等线" w:eastAsia="等线"/>
          <w:b w:val="0"/>
          <w:sz w:val="21"/>
        </w:rPr>
        <w:t>三、接受反商业贿赂及反贪污培训情况</w:t>
      </w:r>
    </w:p>
    <w:p>
      <w:pPr>
        <w:jc w:val="left"/>
      </w:pPr>
      <w:r>
        <w:rPr>
          <w:rFonts w:ascii="等线" w:hAnsi="等线" w:eastAsia="等线"/>
          <w:b w:val="0"/>
          <w:sz w:val="21"/>
        </w:rPr>
        <w:t>报告期内，本银行积极开展反商业贿赂及反贪污培训工作。董事、管理层人员和员工总数为</w:t>
      </w:r>
      <w:r>
        <w:rPr>
          <w:rFonts w:ascii="等线" w:hAnsi="等线" w:eastAsia="等线"/>
          <w:b w:val="0"/>
          <w:sz w:val="21"/>
          <w:highlight w:val="yellow"/>
        </w:rPr>
        <w:t>[X]</w:t>
      </w:r>
      <w:r>
        <w:rPr>
          <w:rFonts w:ascii="等线" w:hAnsi="等线" w:eastAsia="等线"/>
          <w:b w:val="0"/>
          <w:sz w:val="21"/>
        </w:rPr>
        <w:t>人。</w:t>
      </w:r>
    </w:p>
    <w:p>
      <w:pPr>
        <w:jc w:val="left"/>
      </w:pPr>
      <w:r>
        <w:rPr>
          <w:rFonts w:ascii="等线" w:hAnsi="等线" w:eastAsia="等线"/>
          <w:b w:val="0"/>
          <w:sz w:val="21"/>
        </w:rPr>
        <w:t>其中，接受培训的董事人数为</w:t>
      </w:r>
      <w:r>
        <w:rPr>
          <w:rFonts w:ascii="等线" w:hAnsi="等线" w:eastAsia="等线"/>
          <w:b w:val="0"/>
          <w:sz w:val="21"/>
          <w:highlight w:val="yellow"/>
        </w:rPr>
        <w:t>[X]</w:t>
      </w:r>
      <w:r>
        <w:rPr>
          <w:rFonts w:ascii="等线" w:hAnsi="等线" w:eastAsia="等线"/>
          <w:b w:val="0"/>
          <w:sz w:val="21"/>
        </w:rPr>
        <w:t>人，占董事总数的</w:t>
      </w:r>
      <w:r>
        <w:rPr>
          <w:rFonts w:ascii="等线" w:hAnsi="等线" w:eastAsia="等线"/>
          <w:b w:val="0"/>
          <w:sz w:val="21"/>
          <w:highlight w:val="yellow"/>
        </w:rPr>
        <w:t>[X]</w:t>
      </w:r>
      <w:r>
        <w:rPr>
          <w:rFonts w:ascii="等线" w:hAnsi="等线" w:eastAsia="等线"/>
          <w:b w:val="0"/>
          <w:sz w:val="21"/>
        </w:rPr>
        <w:t>%；接受培训的管理层人员为</w:t>
      </w:r>
      <w:r>
        <w:rPr>
          <w:rFonts w:ascii="等线" w:hAnsi="等线" w:eastAsia="等线"/>
          <w:b w:val="0"/>
          <w:sz w:val="21"/>
          <w:highlight w:val="yellow"/>
        </w:rPr>
        <w:t>[X]</w:t>
      </w:r>
      <w:r>
        <w:rPr>
          <w:rFonts w:ascii="等线" w:hAnsi="等线" w:eastAsia="等线"/>
          <w:b w:val="0"/>
          <w:sz w:val="21"/>
        </w:rPr>
        <w:t>人，占管理层人员总数的</w:t>
      </w:r>
      <w:r>
        <w:rPr>
          <w:rFonts w:ascii="等线" w:hAnsi="等线" w:eastAsia="等线"/>
          <w:b w:val="0"/>
          <w:sz w:val="21"/>
          <w:highlight w:val="yellow"/>
        </w:rPr>
        <w:t>[X]</w:t>
      </w:r>
      <w:r>
        <w:rPr>
          <w:rFonts w:ascii="等线" w:hAnsi="等线" w:eastAsia="等线"/>
          <w:b w:val="0"/>
          <w:sz w:val="21"/>
        </w:rPr>
        <w:t>%；接受培训的员工人数为</w:t>
      </w:r>
      <w:r>
        <w:rPr>
          <w:rFonts w:ascii="等线" w:hAnsi="等线" w:eastAsia="等线"/>
          <w:b w:val="0"/>
          <w:sz w:val="21"/>
          <w:highlight w:val="yellow"/>
        </w:rPr>
        <w:t>[X]</w:t>
      </w:r>
      <w:r>
        <w:rPr>
          <w:rFonts w:ascii="等线" w:hAnsi="等线" w:eastAsia="等线"/>
          <w:b w:val="0"/>
          <w:sz w:val="21"/>
        </w:rPr>
        <w:t>人，占员工总数的</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培训内容包括法律法规解读、典型案例分析、银行内部制度讲解等。培训方式采用线上与线下相结合的模式，线上培训课程时长累计达到</w:t>
      </w:r>
      <w:r>
        <w:rPr>
          <w:rFonts w:ascii="等线" w:hAnsi="等线" w:eastAsia="等线"/>
          <w:b w:val="0"/>
          <w:sz w:val="21"/>
          <w:highlight w:val="yellow"/>
        </w:rPr>
        <w:t>[X]</w:t>
      </w:r>
      <w:r>
        <w:rPr>
          <w:rFonts w:ascii="等线" w:hAnsi="等线" w:eastAsia="等线"/>
          <w:b w:val="0"/>
          <w:sz w:val="21"/>
        </w:rPr>
        <w:t>小时，线下培训举办了</w:t>
      </w:r>
      <w:r>
        <w:rPr>
          <w:rFonts w:ascii="等线" w:hAnsi="等线" w:eastAsia="等线"/>
          <w:b w:val="0"/>
          <w:sz w:val="21"/>
          <w:highlight w:val="yellow"/>
        </w:rPr>
        <w:t>[X]</w:t>
      </w:r>
      <w:r>
        <w:rPr>
          <w:rFonts w:ascii="等线" w:hAnsi="等线" w:eastAsia="等线"/>
          <w:b w:val="0"/>
          <w:sz w:val="21"/>
        </w:rPr>
        <w:t>场次，总时长为</w:t>
      </w:r>
      <w:r>
        <w:rPr>
          <w:rFonts w:ascii="等线" w:hAnsi="等线" w:eastAsia="等线"/>
          <w:b w:val="0"/>
          <w:sz w:val="21"/>
          <w:highlight w:val="yellow"/>
        </w:rPr>
        <w:t>[X]</w:t>
      </w:r>
      <w:r>
        <w:rPr>
          <w:rFonts w:ascii="等线" w:hAnsi="等线" w:eastAsia="等线"/>
          <w:b w:val="0"/>
          <w:sz w:val="21"/>
        </w:rPr>
        <w:t>小时。</w:t>
      </w:r>
    </w:p>
    <w:p>
      <w:pPr>
        <w:jc w:val="left"/>
      </w:pPr>
      <w:r>
        <w:rPr>
          <w:rFonts w:ascii="等线" w:hAnsi="等线" w:eastAsia="等线"/>
          <w:b w:val="0"/>
          <w:sz w:val="21"/>
        </w:rPr>
        <w:t>四、报告期内商业贿赂及贪污事件情况</w:t>
      </w:r>
    </w:p>
    <w:p>
      <w:pPr>
        <w:jc w:val="left"/>
      </w:pPr>
      <w:r>
        <w:rPr>
          <w:rFonts w:ascii="等线" w:hAnsi="等线" w:eastAsia="等线"/>
          <w:b w:val="0"/>
          <w:sz w:val="21"/>
        </w:rPr>
        <w:t>报告期内，本银行未发生董事、管理层人员、员工由于商业贿赂或贪污行为而被解雇或受到处分的情况。也未发现被有权部门调查、与业务合作伙伴的合同被终止或未续约以及针对公司或其董事、管理层人员、员工商业贿赂或贪污行为的诉讼案件。</w:t>
      </w:r>
    </w:p>
    <w:p>
      <w:pPr>
        <w:jc w:val="left"/>
      </w:pPr>
      <w:r>
        <w:rPr>
          <w:rFonts w:ascii="等线" w:hAnsi="等线" w:eastAsia="等线"/>
          <w:b w:val="0"/>
          <w:sz w:val="21"/>
        </w:rPr>
        <w:t>这得益于本银行完善的风险管理制度体系、有效的风险评估和广泛的培训工作，使得全体员工深刻认识到反商业贿赂及反贪污的重要性，在日常工作中严格遵守相关规定。未来，本银行将继续加强这方面的工作，不断提升治理水平，确保在国际市场上保持良好的企业形象。</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经确认的腐败事件</w:t>
            </w:r>
          </w:p>
        </w:tc>
        <w:tc>
          <w:tcPr>
            <w:tcW w:type="dxa" w:w="3213"/>
          </w:tcPr>
          <w:p>
            <w:r>
              <w:rPr>
                <w:sz w:val="21"/>
              </w:rPr>
              <w:t>次</w:t>
            </w:r>
          </w:p>
        </w:tc>
        <w:tc>
          <w:tcPr>
            <w:tcW w:type="dxa" w:w="3213"/>
          </w:tcPr>
          <w:p>
            <w:r>
              <w:rPr>
                <w:sz w:val="21"/>
              </w:rPr>
            </w:r>
          </w:p>
        </w:tc>
      </w:tr>
      <w:tr>
        <w:tc>
          <w:tcPr>
            <w:tcW w:type="dxa" w:w="3213"/>
          </w:tcPr>
          <w:p>
            <w:r>
              <w:rPr>
                <w:sz w:val="21"/>
              </w:rPr>
              <w:t>已进行腐败风险评估的运营点</w:t>
            </w:r>
          </w:p>
        </w:tc>
        <w:tc>
          <w:tcPr>
            <w:tcW w:type="dxa" w:w="3213"/>
          </w:tcPr>
          <w:p>
            <w:r>
              <w:rPr>
                <w:sz w:val="21"/>
              </w:rPr>
              <w:t>家</w:t>
            </w:r>
          </w:p>
        </w:tc>
        <w:tc>
          <w:tcPr>
            <w:tcW w:type="dxa" w:w="3213"/>
          </w:tcPr>
          <w:p>
            <w:r>
              <w:rPr>
                <w:sz w:val="21"/>
              </w:rPr>
            </w:r>
          </w:p>
        </w:tc>
      </w:tr>
    </w:tbl>
    <w:p>
      <w:pPr>
        <w:pStyle w:val="Heading2"/>
      </w:pPr>
      <w:r>
        <w:rPr>
          <w:rFonts w:ascii="等线" w:hAnsi="等线" w:eastAsia="等线"/>
          <w:color w:val="000000"/>
          <w:sz w:val="32"/>
        </w:rPr>
        <w:t>反不正当竞争</w:t>
      </w:r>
    </w:p>
    <w:p>
      <w:pPr>
        <w:jc w:val="left"/>
      </w:pPr>
      <w:r>
        <w:rPr>
          <w:rFonts w:ascii="等线" w:hAnsi="等线" w:eastAsia="等线"/>
          <w:b w:val="0"/>
          <w:sz w:val="21"/>
        </w:rPr>
        <w:t>一、防范不正当竞争行为管理制度体系建立与运作情况及具体措施</w:t>
      </w:r>
    </w:p>
    <w:p>
      <w:pPr>
        <w:jc w:val="left"/>
      </w:pPr>
      <w:r>
        <w:rPr>
          <w:rFonts w:ascii="等线" w:hAnsi="等线" w:eastAsia="等线"/>
          <w:b w:val="0"/>
          <w:sz w:val="21"/>
        </w:rPr>
        <w:t>1. 管理制度体系建立</w:t>
      </w:r>
    </w:p>
    <w:p>
      <w:pPr>
        <w:jc w:val="left"/>
      </w:pPr>
      <w:r>
        <w:rPr>
          <w:rFonts w:ascii="等线" w:hAnsi="等线" w:eastAsia="等线"/>
          <w:b w:val="0"/>
          <w:sz w:val="21"/>
        </w:rPr>
        <w:t>2. 本银行高度重视反不正当竞争工作，建立了完善的管理制度体系。该体系以国际通行的反不正当竞争法律法规以及国内相关法规为依据，涵盖了从市场宣传、商业秘密保护到竞争行为规范等多个方面。</w:t>
      </w:r>
    </w:p>
    <w:p>
      <w:pPr>
        <w:jc w:val="left"/>
      </w:pPr>
      <w:r>
        <w:rPr>
          <w:rFonts w:ascii="等线" w:hAnsi="等线" w:eastAsia="等线"/>
          <w:b w:val="0"/>
          <w:sz w:val="21"/>
        </w:rPr>
        <w:t>3. 专门设立了合规管理部门，负责监督和执行反不正当竞争相关制度。合规管理部门配备了</w:t>
      </w:r>
      <w:r>
        <w:rPr>
          <w:rFonts w:ascii="等线" w:hAnsi="等线" w:eastAsia="等线"/>
          <w:b w:val="0"/>
          <w:sz w:val="21"/>
          <w:highlight w:val="yellow"/>
        </w:rPr>
        <w:t>[X]</w:t>
      </w:r>
      <w:r>
        <w:rPr>
          <w:rFonts w:ascii="等线" w:hAnsi="等线" w:eastAsia="等线"/>
          <w:b w:val="0"/>
          <w:sz w:val="21"/>
        </w:rPr>
        <w:t>名专业人员，其中具有国际合规管理经验的人员占</w:t>
      </w:r>
      <w:r>
        <w:rPr>
          <w:rFonts w:ascii="等线" w:hAnsi="等线" w:eastAsia="等线"/>
          <w:b w:val="0"/>
          <w:sz w:val="21"/>
          <w:highlight w:val="yellow"/>
        </w:rPr>
        <w:t>[X]</w:t>
      </w:r>
      <w:r>
        <w:rPr>
          <w:rFonts w:ascii="等线" w:hAnsi="等线" w:eastAsia="等线"/>
          <w:b w:val="0"/>
          <w:sz w:val="21"/>
        </w:rPr>
        <w:t>%。这些人员定期接受关于反不正当竞争法规和最佳实践的培训，培训时长每年人均达到</w:t>
      </w:r>
      <w:r>
        <w:rPr>
          <w:rFonts w:ascii="等线" w:hAnsi="等线" w:eastAsia="等线"/>
          <w:b w:val="0"/>
          <w:sz w:val="21"/>
          <w:highlight w:val="yellow"/>
        </w:rPr>
        <w:t>[X]</w:t>
      </w:r>
      <w:r>
        <w:rPr>
          <w:rFonts w:ascii="等线" w:hAnsi="等线" w:eastAsia="等线"/>
          <w:b w:val="0"/>
          <w:sz w:val="21"/>
        </w:rPr>
        <w:t>小时。</w:t>
      </w:r>
    </w:p>
    <w:p>
      <w:pPr>
        <w:jc w:val="left"/>
      </w:pPr>
      <w:r>
        <w:rPr>
          <w:rFonts w:ascii="等线" w:hAnsi="等线" w:eastAsia="等线"/>
          <w:b w:val="0"/>
          <w:sz w:val="21"/>
        </w:rPr>
        <w:t>4. 运作情况</w:t>
      </w:r>
    </w:p>
    <w:p>
      <w:pPr>
        <w:jc w:val="left"/>
      </w:pPr>
      <w:r>
        <w:rPr>
          <w:rFonts w:ascii="等线" w:hAnsi="等线" w:eastAsia="等线"/>
          <w:b w:val="0"/>
          <w:sz w:val="21"/>
        </w:rPr>
        <w:t>5. 在日常运营中，合规管理部门通过定期审查业务流程和市场活动，确保银行的各项行为符合反不正当竞争要求。例如，每月进行一次内部业务审查，重点检查市场推广活动是否存在虚假宣传的风险。</w:t>
      </w:r>
    </w:p>
    <w:p>
      <w:pPr>
        <w:jc w:val="left"/>
      </w:pPr>
      <w:r>
        <w:rPr>
          <w:rFonts w:ascii="等线" w:hAnsi="等线" w:eastAsia="等线"/>
          <w:b w:val="0"/>
          <w:sz w:val="21"/>
        </w:rPr>
        <w:t>6. 建立了内部举报机制，鼓励员工对发现的不正当竞争行为进行举报。自该机制建立以来，共收到员工举报</w:t>
      </w:r>
      <w:r>
        <w:rPr>
          <w:rFonts w:ascii="等线" w:hAnsi="等线" w:eastAsia="等线"/>
          <w:b w:val="0"/>
          <w:sz w:val="21"/>
          <w:highlight w:val="yellow"/>
        </w:rPr>
        <w:t>[X]</w:t>
      </w:r>
      <w:r>
        <w:rPr>
          <w:rFonts w:ascii="等线" w:hAnsi="等线" w:eastAsia="等线"/>
          <w:b w:val="0"/>
          <w:sz w:val="21"/>
        </w:rPr>
        <w:t>次，其中经核实与不正当竞争相关的举报为</w:t>
      </w:r>
      <w:r>
        <w:rPr>
          <w:rFonts w:ascii="等线" w:hAnsi="等线" w:eastAsia="等线"/>
          <w:b w:val="0"/>
          <w:sz w:val="21"/>
          <w:highlight w:val="yellow"/>
        </w:rPr>
        <w:t>[X]</w:t>
      </w:r>
      <w:r>
        <w:rPr>
          <w:rFonts w:ascii="等线" w:hAnsi="等线" w:eastAsia="等线"/>
          <w:b w:val="0"/>
          <w:sz w:val="21"/>
        </w:rPr>
        <w:t>次，均得到了及时处理。</w:t>
      </w:r>
    </w:p>
    <w:p>
      <w:pPr>
        <w:jc w:val="left"/>
      </w:pPr>
      <w:r>
        <w:rPr>
          <w:rFonts w:ascii="等线" w:hAnsi="等线" w:eastAsia="等线"/>
          <w:b w:val="0"/>
          <w:sz w:val="21"/>
        </w:rPr>
        <w:t>7. 具体措施</w:t>
      </w:r>
    </w:p>
    <w:p>
      <w:pPr>
        <w:jc w:val="left"/>
      </w:pPr>
      <w:r>
        <w:rPr>
          <w:rFonts w:ascii="等线" w:hAnsi="等线" w:eastAsia="等线"/>
          <w:b w:val="0"/>
          <w:sz w:val="21"/>
        </w:rPr>
        <w:t>8. 虚假宣传防范：在市场宣传方面，所有宣传材料都要经过多层审核。首先由业务部门进行内容初审，确保宣传内容真实准确反映产品和服务特性；然后由合规管理部门进行复审，重点审查是否存在夸大、误导性表述。经统计，报告期内共审核宣传材料</w:t>
      </w:r>
      <w:r>
        <w:rPr>
          <w:rFonts w:ascii="等线" w:hAnsi="等线" w:eastAsia="等线"/>
          <w:b w:val="0"/>
          <w:sz w:val="21"/>
          <w:highlight w:val="yellow"/>
        </w:rPr>
        <w:t>[X]</w:t>
      </w:r>
      <w:r>
        <w:rPr>
          <w:rFonts w:ascii="等线" w:hAnsi="等线" w:eastAsia="等线"/>
          <w:b w:val="0"/>
          <w:sz w:val="21"/>
        </w:rPr>
        <w:t>份，其中因存在潜在误导风险而被要求修改的材料有</w:t>
      </w:r>
      <w:r>
        <w:rPr>
          <w:rFonts w:ascii="等线" w:hAnsi="等线" w:eastAsia="等线"/>
          <w:b w:val="0"/>
          <w:sz w:val="21"/>
          <w:highlight w:val="yellow"/>
        </w:rPr>
        <w:t>[X]</w:t>
      </w:r>
      <w:r>
        <w:rPr>
          <w:rFonts w:ascii="等线" w:hAnsi="等线" w:eastAsia="等线"/>
          <w:b w:val="0"/>
          <w:sz w:val="21"/>
        </w:rPr>
        <w:t>份。</w:t>
      </w:r>
    </w:p>
    <w:p>
      <w:pPr>
        <w:jc w:val="left"/>
      </w:pPr>
      <w:r>
        <w:rPr>
          <w:rFonts w:ascii="等线" w:hAnsi="等线" w:eastAsia="等线"/>
          <w:b w:val="0"/>
          <w:sz w:val="21"/>
        </w:rPr>
        <w:t>9. 垄断行为防范：积极参与行业自律组织的活动，与其他金融机构共同制定公平竞争的行业规范。定期对银行的市场份额、定价策略等进行分析，确保不存在垄断性经营行为。例如，每季度进行一次市场份额分析，目前本银行在</w:t>
      </w:r>
      <w:r>
        <w:rPr>
          <w:rFonts w:ascii="等线" w:hAnsi="等线" w:eastAsia="等线"/>
          <w:b w:val="0"/>
          <w:sz w:val="21"/>
          <w:highlight w:val="yellow"/>
        </w:rPr>
        <w:t>[具体业务领域]</w:t>
      </w:r>
      <w:r>
        <w:rPr>
          <w:rFonts w:ascii="等线" w:hAnsi="等线" w:eastAsia="等线"/>
          <w:b w:val="0"/>
          <w:sz w:val="21"/>
        </w:rPr>
        <w:t>的市场份额为</w:t>
      </w:r>
      <w:r>
        <w:rPr>
          <w:rFonts w:ascii="等线" w:hAnsi="等线" w:eastAsia="等线"/>
          <w:b w:val="0"/>
          <w:sz w:val="21"/>
          <w:highlight w:val="yellow"/>
        </w:rPr>
        <w:t>[X]</w:t>
      </w:r>
      <w:r>
        <w:rPr>
          <w:rFonts w:ascii="等线" w:hAnsi="等线" w:eastAsia="等线"/>
          <w:b w:val="0"/>
          <w:sz w:val="21"/>
        </w:rPr>
        <w:t>%，处于合理竞争水平。</w:t>
      </w:r>
    </w:p>
    <w:p>
      <w:pPr>
        <w:jc w:val="left"/>
      </w:pPr>
      <w:r>
        <w:rPr>
          <w:rFonts w:ascii="等线" w:hAnsi="等线" w:eastAsia="等线"/>
          <w:b w:val="0"/>
          <w:sz w:val="21"/>
        </w:rPr>
        <w:t>10. 商业秘密保护：建立了严格的商业秘密保护制度，对涉及银行核心技术、客户信息等商业秘密的部门和人员进行严格管理。为保护商业秘密，投入了</w:t>
      </w:r>
      <w:r>
        <w:rPr>
          <w:rFonts w:ascii="等线" w:hAnsi="等线" w:eastAsia="等线"/>
          <w:b w:val="0"/>
          <w:sz w:val="21"/>
          <w:highlight w:val="yellow"/>
        </w:rPr>
        <w:t>[X]</w:t>
      </w:r>
      <w:r>
        <w:rPr>
          <w:rFonts w:ascii="等线" w:hAnsi="等线" w:eastAsia="等线"/>
          <w:b w:val="0"/>
          <w:sz w:val="21"/>
        </w:rPr>
        <w:t>万元用于安全设施建设和人员培训。对接触商业秘密的员工签订保密协议，目前已签订保密协议的员工达到</w:t>
      </w:r>
      <w:r>
        <w:rPr>
          <w:rFonts w:ascii="等线" w:hAnsi="等线" w:eastAsia="等线"/>
          <w:b w:val="0"/>
          <w:sz w:val="21"/>
          <w:highlight w:val="yellow"/>
        </w:rPr>
        <w:t>[X]</w:t>
      </w:r>
      <w:r>
        <w:rPr>
          <w:rFonts w:ascii="等线" w:hAnsi="等线" w:eastAsia="等线"/>
          <w:b w:val="0"/>
          <w:sz w:val="21"/>
        </w:rPr>
        <w:t>人，占员工总数的</w:t>
      </w:r>
      <w:r>
        <w:rPr>
          <w:rFonts w:ascii="等线" w:hAnsi="等线" w:eastAsia="等线"/>
          <w:b w:val="0"/>
          <w:sz w:val="21"/>
          <w:highlight w:val="yellow"/>
        </w:rPr>
        <w:t>[X]</w:t>
      </w:r>
      <w:r>
        <w:rPr>
          <w:rFonts w:ascii="等线" w:hAnsi="等线" w:eastAsia="等线"/>
          <w:b w:val="0"/>
          <w:sz w:val="21"/>
        </w:rPr>
        <w:t>%。</w:t>
      </w:r>
    </w:p>
    <w:p>
      <w:pPr>
        <w:jc w:val="left"/>
      </w:pPr>
      <w:r>
        <w:rPr>
          <w:rFonts w:ascii="等线" w:hAnsi="等线" w:eastAsia="等线"/>
          <w:b w:val="0"/>
          <w:sz w:val="21"/>
        </w:rPr>
        <w:t>二、报告期内因公司不正当竞争行为导致诉讼或重大行政处罚的情况</w:t>
      </w:r>
    </w:p>
    <w:p>
      <w:pPr>
        <w:jc w:val="left"/>
      </w:pPr>
      <w:r>
        <w:rPr>
          <w:rFonts w:ascii="等线" w:hAnsi="等线" w:eastAsia="等线"/>
          <w:b w:val="0"/>
          <w:sz w:val="21"/>
        </w:rPr>
        <w:t>1. 诉讼情况（如有）</w:t>
      </w:r>
    </w:p>
    <w:p>
      <w:pPr>
        <w:jc w:val="left"/>
      </w:pPr>
      <w:r>
        <w:rPr>
          <w:rFonts w:ascii="等线" w:hAnsi="等线" w:eastAsia="等线"/>
          <w:b w:val="0"/>
          <w:sz w:val="21"/>
        </w:rPr>
        <w:t>2. 在报告期内，本银行未发生因不正当竞争行为导致的诉讼案件。</w:t>
      </w:r>
    </w:p>
    <w:p>
      <w:pPr>
        <w:jc w:val="left"/>
      </w:pPr>
      <w:r>
        <w:rPr>
          <w:rFonts w:ascii="等线" w:hAnsi="等线" w:eastAsia="等线"/>
          <w:b w:val="0"/>
          <w:sz w:val="21"/>
        </w:rPr>
        <w:t>3. 行政处罚情况（如有）</w:t>
      </w:r>
    </w:p>
    <w:p>
      <w:pPr>
        <w:jc w:val="left"/>
      </w:pPr>
      <w:r>
        <w:rPr>
          <w:rFonts w:ascii="等线" w:hAnsi="等线" w:eastAsia="等线"/>
          <w:b w:val="0"/>
          <w:sz w:val="21"/>
        </w:rPr>
        <w:t>4. 同样，报告期内本银行未受到因不正当竞争行为而导致的重大行政处罚。</w:t>
      </w:r>
    </w:p>
    <w:p>
      <w:pPr>
        <w:jc w:val="left"/>
      </w:pPr>
      <w:r>
        <w:rPr>
          <w:rFonts w:ascii="等线" w:hAnsi="等线" w:eastAsia="等线"/>
          <w:b w:val="0"/>
          <w:sz w:val="21"/>
        </w:rPr>
        <w:t>5. 持续改进措施</w:t>
      </w:r>
    </w:p>
    <w:p>
      <w:pPr>
        <w:jc w:val="left"/>
      </w:pPr>
      <w:r>
        <w:rPr>
          <w:rFonts w:ascii="等线" w:hAnsi="等线" w:eastAsia="等线"/>
          <w:b w:val="0"/>
          <w:sz w:val="21"/>
        </w:rPr>
        <w:t>6. 尽管目前没有出现不正当竞争相关的诉讼和重大行政处罚，但本银行仍不断加强反不正当竞争工作。持续完善管理制度，根据国际和国内法规的更新及时调整内部制度。例如，在</w:t>
      </w:r>
      <w:r>
        <w:rPr>
          <w:rFonts w:ascii="等线" w:hAnsi="等线" w:eastAsia="等线"/>
          <w:b w:val="0"/>
          <w:sz w:val="21"/>
          <w:highlight w:val="yellow"/>
        </w:rPr>
        <w:t>[具体法规更新时间]</w:t>
      </w:r>
      <w:r>
        <w:rPr>
          <w:rFonts w:ascii="等线" w:hAnsi="等线" w:eastAsia="等线"/>
          <w:b w:val="0"/>
          <w:sz w:val="21"/>
        </w:rPr>
        <w:t>，根据新的反不正当竞争法规要求，对内部审核流程进行了优化，增加了</w:t>
      </w:r>
      <w:r>
        <w:rPr>
          <w:rFonts w:ascii="等线" w:hAnsi="等线" w:eastAsia="等线"/>
          <w:b w:val="0"/>
          <w:sz w:val="21"/>
          <w:highlight w:val="yellow"/>
        </w:rPr>
        <w:t>[具体审核环节]</w:t>
      </w:r>
      <w:r>
        <w:rPr>
          <w:rFonts w:ascii="等线" w:hAnsi="等线" w:eastAsia="等线"/>
          <w:b w:val="0"/>
          <w:sz w:val="21"/>
        </w:rPr>
        <w:t>，以进一步降低不正当竞争风险。同时，加强与监管机构和行业伙伴的沟通交流，及时获取关于反不正当竞争的指导意见和行业动态信息，确保银行在市场竞争中始终保持合法合规。</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sz w:val="21"/>
              </w:rPr>
              <w:t>绩效指标</w:t>
            </w:r>
          </w:p>
        </w:tc>
        <w:tc>
          <w:tcPr>
            <w:tcW w:type="dxa" w:w="3213"/>
            <w:shd w:fill="f5f2f0"/>
          </w:tcPr>
          <w:p>
            <w:r>
              <w:rPr>
                <w:sz w:val="21"/>
              </w:rPr>
              <w:t>单位</w:t>
            </w:r>
          </w:p>
        </w:tc>
        <w:tc>
          <w:tcPr>
            <w:tcW w:type="dxa" w:w="3213"/>
            <w:shd w:fill="f5f2f0"/>
          </w:tcPr>
          <w:p>
            <w:r>
              <w:rPr>
                <w:sz w:val="21"/>
              </w:rPr>
              <w:t>2023</w:t>
            </w:r>
          </w:p>
        </w:tc>
      </w:tr>
      <w:tr>
        <w:tc>
          <w:tcPr>
            <w:tcW w:type="dxa" w:w="3213"/>
          </w:tcPr>
          <w:p>
            <w:r>
              <w:rPr>
                <w:sz w:val="21"/>
              </w:rPr>
              <w:t>垄断或不正当竞争纠纷数量</w:t>
            </w:r>
          </w:p>
        </w:tc>
        <w:tc>
          <w:tcPr>
            <w:tcW w:type="dxa" w:w="3213"/>
          </w:tcPr>
          <w:p>
            <w:r>
              <w:rPr>
                <w:sz w:val="21"/>
              </w:rPr>
              <w:t>次</w:t>
            </w:r>
          </w:p>
        </w:tc>
        <w:tc>
          <w:tcPr>
            <w:tcW w:type="dxa" w:w="3213"/>
          </w:tcPr>
          <w:p>
            <w:r>
              <w:rPr>
                <w:sz w:val="21"/>
              </w:rPr>
            </w:r>
          </w:p>
        </w:tc>
      </w:tr>
    </w:tbl>
    <w:p>
      <w:r>
        <w:br w:type="page"/>
      </w:r>
    </w:p>
    <w:p>
      <w:pPr>
        <w:pStyle w:val="Heading1"/>
      </w:pPr>
      <w:r>
        <w:rPr>
          <w:rFonts w:ascii="等线" w:hAnsi="等线" w:eastAsia="等线"/>
          <w:color w:val="000000"/>
          <w:sz w:val="44"/>
        </w:rPr>
        <w:t>量化指标汇总表</w:t>
      </w:r>
    </w:p>
    <w:p>
      <w:r>
        <w:rPr>
          <w:rFonts w:ascii="等线" w:hAnsi="等线" w:eastAsia="等线"/>
          <w:sz w:val="44"/>
          <w:vertAlign w:val="superscript"/>
        </w:rPr>
        <w:t>应对气候变化</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应对气候变化</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温室气体排放总量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温室气体排放量：范围1</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温室气体排放量：范围2</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温室气体排放量：范围3</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单位营收温室气体排放总量</w:t>
            </w:r>
          </w:p>
        </w:tc>
        <w:tc>
          <w:tcPr>
            <w:tcW w:type="dxa" w:w="3213"/>
          </w:tcPr>
          <w:p>
            <w:r>
              <w:rPr>
                <w:rFonts w:ascii="等线" w:hAnsi="等线" w:eastAsia="等线"/>
                <w:sz w:val="20"/>
              </w:rPr>
              <w:t>吨CO2当量/万元</w:t>
            </w:r>
          </w:p>
        </w:tc>
        <w:tc>
          <w:tcPr>
            <w:tcW w:type="dxa" w:w="3213"/>
          </w:tcPr>
          <w:p>
            <w:r>
              <w:rPr>
                <w:rFonts w:ascii="等线" w:hAnsi="等线" w:eastAsia="等线"/>
                <w:sz w:val="20"/>
              </w:rPr>
              <w:t>/</w:t>
            </w:r>
          </w:p>
        </w:tc>
      </w:tr>
      <w:tr>
        <w:tc>
          <w:tcPr>
            <w:tcW w:type="dxa" w:w="3213"/>
          </w:tcPr>
          <w:p>
            <w:r>
              <w:rPr>
                <w:rFonts w:ascii="等线" w:hAnsi="等线" w:eastAsia="等线"/>
                <w:sz w:val="20"/>
              </w:rPr>
              <w:t>使用的碳信用额度的数量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是否完成碳配额清缴</w:t>
            </w:r>
          </w:p>
        </w:tc>
        <w:tc>
          <w:tcPr>
            <w:tcW w:type="dxa" w:w="3213"/>
          </w:tcPr>
          <w:p>
            <w:r>
              <w:rPr>
                <w:rFonts w:ascii="等线" w:hAnsi="等线" w:eastAsia="等线"/>
                <w:sz w:val="20"/>
              </w:rPr>
            </w:r>
          </w:p>
        </w:tc>
        <w:tc>
          <w:tcPr>
            <w:tcW w:type="dxa" w:w="3213"/>
          </w:tcPr>
          <w:p>
            <w:r>
              <w:rPr>
                <w:rFonts w:ascii="等线" w:hAnsi="等线" w:eastAsia="等线"/>
                <w:sz w:val="20"/>
              </w:rPr>
              <w:t>/</w:t>
            </w:r>
          </w:p>
        </w:tc>
      </w:tr>
      <w:tr>
        <w:tc>
          <w:tcPr>
            <w:tcW w:type="dxa" w:w="3213"/>
          </w:tcPr>
          <w:p>
            <w:r>
              <w:rPr>
                <w:rFonts w:ascii="等线" w:hAnsi="等线" w:eastAsia="等线"/>
                <w:sz w:val="20"/>
              </w:rPr>
              <w:t>温室气体范围1减排量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温室气体范围2减排量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温室气体范围3减排量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被分配的碳配额数量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碳交易中出售的碳配额数量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r>
        <w:tc>
          <w:tcPr>
            <w:tcW w:type="dxa" w:w="3213"/>
          </w:tcPr>
          <w:p>
            <w:r>
              <w:rPr>
                <w:rFonts w:ascii="等线" w:hAnsi="等线" w:eastAsia="等线"/>
                <w:sz w:val="20"/>
              </w:rPr>
              <w:t>碳交易中购买的碳配额数量</w:t>
            </w:r>
          </w:p>
        </w:tc>
        <w:tc>
          <w:tcPr>
            <w:tcW w:type="dxa" w:w="3213"/>
          </w:tcPr>
          <w:p>
            <w:r>
              <w:rPr>
                <w:rFonts w:ascii="等线" w:hAnsi="等线" w:eastAsia="等线"/>
                <w:sz w:val="20"/>
              </w:rPr>
              <w:t>吨CO2当量</w:t>
            </w:r>
          </w:p>
        </w:tc>
        <w:tc>
          <w:tcPr>
            <w:tcW w:type="dxa" w:w="3213"/>
          </w:tcPr>
          <w:p>
            <w:r>
              <w:rPr>
                <w:rFonts w:ascii="等线" w:hAnsi="等线" w:eastAsia="等线"/>
                <w:sz w:val="20"/>
              </w:rPr>
              <w:t>/</w:t>
            </w:r>
          </w:p>
        </w:tc>
      </w:tr>
    </w:tbl>
    <w:p>
      <w:r>
        <w:br/>
      </w:r>
    </w:p>
    <w:p>
      <w:r>
        <w:rPr>
          <w:rFonts w:ascii="等线" w:hAnsi="等线" w:eastAsia="等线"/>
          <w:sz w:val="44"/>
          <w:vertAlign w:val="superscript"/>
        </w:rPr>
        <w:t>污染物排放</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污染物排放</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废气排放：颗粒物(PM)</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废气排放：二氧化硫(SO2)</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废气排放：氮氧化物(NOx)</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废气排放：一氧化碳（CO)</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废气排放：VOCs</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废水排放量</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废水排放：氨氮</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废水排放：总氮</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废水排放：化学需氧量（COD）</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废水排放：生化需氧量（BOD）</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废水排放：总磷</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bl>
    <w:p>
      <w:r>
        <w:br/>
      </w:r>
    </w:p>
    <w:p>
      <w:r>
        <w:rPr>
          <w:rFonts w:ascii="等线" w:hAnsi="等线" w:eastAsia="等线"/>
          <w:sz w:val="44"/>
          <w:vertAlign w:val="superscript"/>
        </w:rPr>
        <w:t>废弃物处理</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废弃物处理</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一般固废产生量</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危险废物产生量</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危险废物处理量</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一般固废回收量</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单位营收危险废物产生量</w:t>
            </w:r>
          </w:p>
        </w:tc>
        <w:tc>
          <w:tcPr>
            <w:tcW w:type="dxa" w:w="3213"/>
          </w:tcPr>
          <w:p>
            <w:r>
              <w:rPr>
                <w:rFonts w:ascii="等线" w:hAnsi="等线" w:eastAsia="等线"/>
                <w:sz w:val="20"/>
              </w:rPr>
              <w:t>吨/万元</w:t>
            </w:r>
          </w:p>
        </w:tc>
        <w:tc>
          <w:tcPr>
            <w:tcW w:type="dxa" w:w="3213"/>
          </w:tcPr>
          <w:p>
            <w:r>
              <w:rPr>
                <w:rFonts w:ascii="等线" w:hAnsi="等线" w:eastAsia="等线"/>
                <w:sz w:val="20"/>
              </w:rPr>
              <w:t>/</w:t>
            </w:r>
          </w:p>
        </w:tc>
      </w:tr>
      <w:tr>
        <w:tc>
          <w:tcPr>
            <w:tcW w:type="dxa" w:w="3213"/>
          </w:tcPr>
          <w:p>
            <w:r>
              <w:rPr>
                <w:rFonts w:ascii="等线" w:hAnsi="等线" w:eastAsia="等线"/>
                <w:sz w:val="20"/>
              </w:rPr>
              <w:t>单位营收一般固废产生量</w:t>
            </w:r>
          </w:p>
        </w:tc>
        <w:tc>
          <w:tcPr>
            <w:tcW w:type="dxa" w:w="3213"/>
          </w:tcPr>
          <w:p>
            <w:r>
              <w:rPr>
                <w:rFonts w:ascii="等线" w:hAnsi="等线" w:eastAsia="等线"/>
                <w:sz w:val="20"/>
              </w:rPr>
              <w:t>吨/万元</w:t>
            </w:r>
          </w:p>
        </w:tc>
        <w:tc>
          <w:tcPr>
            <w:tcW w:type="dxa" w:w="3213"/>
          </w:tcPr>
          <w:p>
            <w:r>
              <w:rPr>
                <w:rFonts w:ascii="等线" w:hAnsi="等线" w:eastAsia="等线"/>
                <w:sz w:val="20"/>
              </w:rPr>
              <w:t>/</w:t>
            </w:r>
          </w:p>
        </w:tc>
      </w:tr>
    </w:tbl>
    <w:p>
      <w:r>
        <w:br/>
      </w:r>
    </w:p>
    <w:p>
      <w:r>
        <w:rPr>
          <w:rFonts w:ascii="等线" w:hAnsi="等线" w:eastAsia="等线"/>
          <w:sz w:val="44"/>
          <w:vertAlign w:val="superscript"/>
        </w:rPr>
        <w:t>环境合规管理</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环境合规管理</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全年污染事故发生数</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r>
        <w:tc>
          <w:tcPr>
            <w:tcW w:type="dxa" w:w="3213"/>
          </w:tcPr>
          <w:p>
            <w:r>
              <w:rPr>
                <w:rFonts w:ascii="等线" w:hAnsi="等线" w:eastAsia="等线"/>
                <w:sz w:val="20"/>
              </w:rPr>
              <w:t>违反环境或生态相关法律法规的次数</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r>
        <w:tc>
          <w:tcPr>
            <w:tcW w:type="dxa" w:w="3213"/>
          </w:tcPr>
          <w:p>
            <w:r>
              <w:rPr>
                <w:rFonts w:ascii="等线" w:hAnsi="等线" w:eastAsia="等线"/>
                <w:sz w:val="20"/>
              </w:rPr>
              <w:t>与环境或生态问题相关的罚款金额</w:t>
            </w:r>
          </w:p>
        </w:tc>
        <w:tc>
          <w:tcPr>
            <w:tcW w:type="dxa" w:w="3213"/>
          </w:tcPr>
          <w:p>
            <w:r>
              <w:rPr>
                <w:rFonts w:ascii="等线" w:hAnsi="等线" w:eastAsia="等线"/>
                <w:sz w:val="20"/>
              </w:rPr>
              <w:t>万元</w:t>
            </w:r>
          </w:p>
        </w:tc>
        <w:tc>
          <w:tcPr>
            <w:tcW w:type="dxa" w:w="3213"/>
          </w:tcPr>
          <w:p>
            <w:r>
              <w:rPr>
                <w:rFonts w:ascii="等线" w:hAnsi="等线" w:eastAsia="等线"/>
                <w:sz w:val="20"/>
              </w:rPr>
              <w:t>/</w:t>
            </w:r>
          </w:p>
        </w:tc>
      </w:tr>
    </w:tbl>
    <w:p>
      <w:r>
        <w:br/>
      </w:r>
    </w:p>
    <w:p>
      <w:r>
        <w:rPr>
          <w:rFonts w:ascii="等线" w:hAnsi="等线" w:eastAsia="等线"/>
          <w:sz w:val="44"/>
          <w:vertAlign w:val="superscript"/>
        </w:rPr>
        <w:t>能源利用</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能源利用</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能源消耗：标煤</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能源消耗：天然气</w:t>
            </w:r>
          </w:p>
        </w:tc>
        <w:tc>
          <w:tcPr>
            <w:tcW w:type="dxa" w:w="3213"/>
          </w:tcPr>
          <w:p>
            <w:r>
              <w:rPr>
                <w:rFonts w:ascii="等线" w:hAnsi="等线" w:eastAsia="等线"/>
                <w:sz w:val="20"/>
              </w:rPr>
              <w:t>立方米</w:t>
            </w:r>
          </w:p>
        </w:tc>
        <w:tc>
          <w:tcPr>
            <w:tcW w:type="dxa" w:w="3213"/>
          </w:tcPr>
          <w:p>
            <w:r>
              <w:rPr>
                <w:rFonts w:ascii="等线" w:hAnsi="等线" w:eastAsia="等线"/>
                <w:sz w:val="20"/>
              </w:rPr>
              <w:t>/</w:t>
            </w:r>
          </w:p>
        </w:tc>
      </w:tr>
      <w:tr>
        <w:tc>
          <w:tcPr>
            <w:tcW w:type="dxa" w:w="3213"/>
          </w:tcPr>
          <w:p>
            <w:r>
              <w:rPr>
                <w:rFonts w:ascii="等线" w:hAnsi="等线" w:eastAsia="等线"/>
                <w:sz w:val="20"/>
              </w:rPr>
              <w:t>能源消耗：汽油</w:t>
            </w:r>
          </w:p>
        </w:tc>
        <w:tc>
          <w:tcPr>
            <w:tcW w:type="dxa" w:w="3213"/>
          </w:tcPr>
          <w:p>
            <w:r>
              <w:rPr>
                <w:rFonts w:ascii="等线" w:hAnsi="等线" w:eastAsia="等线"/>
                <w:sz w:val="20"/>
              </w:rPr>
              <w:t>千焦</w:t>
            </w:r>
          </w:p>
        </w:tc>
        <w:tc>
          <w:tcPr>
            <w:tcW w:type="dxa" w:w="3213"/>
          </w:tcPr>
          <w:p>
            <w:r>
              <w:rPr>
                <w:rFonts w:ascii="等线" w:hAnsi="等线" w:eastAsia="等线"/>
                <w:sz w:val="20"/>
              </w:rPr>
              <w:t>/</w:t>
            </w:r>
          </w:p>
        </w:tc>
      </w:tr>
      <w:tr>
        <w:tc>
          <w:tcPr>
            <w:tcW w:type="dxa" w:w="3213"/>
          </w:tcPr>
          <w:p>
            <w:r>
              <w:rPr>
                <w:rFonts w:ascii="等线" w:hAnsi="等线" w:eastAsia="等线"/>
                <w:sz w:val="20"/>
              </w:rPr>
              <w:t>能源消耗：柴油</w:t>
            </w:r>
          </w:p>
        </w:tc>
        <w:tc>
          <w:tcPr>
            <w:tcW w:type="dxa" w:w="3213"/>
          </w:tcPr>
          <w:p>
            <w:r>
              <w:rPr>
                <w:rFonts w:ascii="等线" w:hAnsi="等线" w:eastAsia="等线"/>
                <w:sz w:val="20"/>
              </w:rPr>
              <w:t>千焦</w:t>
            </w:r>
          </w:p>
        </w:tc>
        <w:tc>
          <w:tcPr>
            <w:tcW w:type="dxa" w:w="3213"/>
          </w:tcPr>
          <w:p>
            <w:r>
              <w:rPr>
                <w:rFonts w:ascii="等线" w:hAnsi="等线" w:eastAsia="等线"/>
                <w:sz w:val="20"/>
              </w:rPr>
              <w:t>/</w:t>
            </w:r>
          </w:p>
        </w:tc>
      </w:tr>
      <w:tr>
        <w:tc>
          <w:tcPr>
            <w:tcW w:type="dxa" w:w="3213"/>
          </w:tcPr>
          <w:p>
            <w:r>
              <w:rPr>
                <w:rFonts w:ascii="等线" w:hAnsi="等线" w:eastAsia="等线"/>
                <w:sz w:val="20"/>
              </w:rPr>
              <w:t>能源消耗：电力</w:t>
            </w:r>
          </w:p>
        </w:tc>
        <w:tc>
          <w:tcPr>
            <w:tcW w:type="dxa" w:w="3213"/>
          </w:tcPr>
          <w:p>
            <w:r>
              <w:rPr>
                <w:rFonts w:ascii="等线" w:hAnsi="等线" w:eastAsia="等线"/>
                <w:sz w:val="20"/>
              </w:rPr>
              <w:t>兆瓦时</w:t>
            </w:r>
          </w:p>
        </w:tc>
        <w:tc>
          <w:tcPr>
            <w:tcW w:type="dxa" w:w="3213"/>
          </w:tcPr>
          <w:p>
            <w:r>
              <w:rPr>
                <w:rFonts w:ascii="等线" w:hAnsi="等线" w:eastAsia="等线"/>
                <w:sz w:val="20"/>
              </w:rPr>
              <w:t>/</w:t>
            </w:r>
          </w:p>
        </w:tc>
      </w:tr>
      <w:tr>
        <w:tc>
          <w:tcPr>
            <w:tcW w:type="dxa" w:w="3213"/>
          </w:tcPr>
          <w:p>
            <w:r>
              <w:rPr>
                <w:rFonts w:ascii="等线" w:hAnsi="等线" w:eastAsia="等线"/>
                <w:sz w:val="20"/>
              </w:rPr>
              <w:t>自发电量</w:t>
            </w:r>
          </w:p>
        </w:tc>
        <w:tc>
          <w:tcPr>
            <w:tcW w:type="dxa" w:w="3213"/>
          </w:tcPr>
          <w:p>
            <w:r>
              <w:rPr>
                <w:rFonts w:ascii="等线" w:hAnsi="等线" w:eastAsia="等线"/>
                <w:sz w:val="20"/>
              </w:rPr>
              <w:t>兆瓦时</w:t>
            </w:r>
          </w:p>
        </w:tc>
        <w:tc>
          <w:tcPr>
            <w:tcW w:type="dxa" w:w="3213"/>
          </w:tcPr>
          <w:p>
            <w:r>
              <w:rPr>
                <w:rFonts w:ascii="等线" w:hAnsi="等线" w:eastAsia="等线"/>
                <w:sz w:val="20"/>
              </w:rPr>
              <w:t>/</w:t>
            </w:r>
          </w:p>
        </w:tc>
      </w:tr>
      <w:tr>
        <w:tc>
          <w:tcPr>
            <w:tcW w:type="dxa" w:w="3213"/>
          </w:tcPr>
          <w:p>
            <w:r>
              <w:rPr>
                <w:rFonts w:ascii="等线" w:hAnsi="等线" w:eastAsia="等线"/>
                <w:sz w:val="20"/>
              </w:rPr>
              <w:t>清洁能源使用量</w:t>
            </w:r>
          </w:p>
        </w:tc>
        <w:tc>
          <w:tcPr>
            <w:tcW w:type="dxa" w:w="3213"/>
          </w:tcPr>
          <w:p>
            <w:r>
              <w:rPr>
                <w:rFonts w:ascii="等线" w:hAnsi="等线" w:eastAsia="等线"/>
                <w:sz w:val="20"/>
              </w:rPr>
              <w:t>千焦</w:t>
            </w:r>
          </w:p>
        </w:tc>
        <w:tc>
          <w:tcPr>
            <w:tcW w:type="dxa" w:w="3213"/>
          </w:tcPr>
          <w:p>
            <w:r>
              <w:rPr>
                <w:rFonts w:ascii="等线" w:hAnsi="等线" w:eastAsia="等线"/>
                <w:sz w:val="20"/>
              </w:rPr>
              <w:t>/</w:t>
            </w:r>
          </w:p>
        </w:tc>
      </w:tr>
    </w:tbl>
    <w:p>
      <w:r>
        <w:br/>
      </w:r>
    </w:p>
    <w:p>
      <w:r>
        <w:rPr>
          <w:rFonts w:ascii="等线" w:hAnsi="等线" w:eastAsia="等线"/>
          <w:sz w:val="44"/>
          <w:vertAlign w:val="superscript"/>
        </w:rPr>
        <w:t>水资源利用</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水资源利用</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新水消耗量</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新水消耗量-市政自来水</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新水消耗量-地表水</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新水消耗量-地下水</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中水回用量</w:t>
            </w:r>
          </w:p>
        </w:tc>
        <w:tc>
          <w:tcPr>
            <w:tcW w:type="dxa" w:w="3213"/>
          </w:tcPr>
          <w:p>
            <w:r>
              <w:rPr>
                <w:rFonts w:ascii="等线" w:hAnsi="等线" w:eastAsia="等线"/>
                <w:sz w:val="20"/>
              </w:rPr>
              <w:t>吨</w:t>
            </w:r>
          </w:p>
        </w:tc>
        <w:tc>
          <w:tcPr>
            <w:tcW w:type="dxa" w:w="3213"/>
          </w:tcPr>
          <w:p>
            <w:r>
              <w:rPr>
                <w:rFonts w:ascii="等线" w:hAnsi="等线" w:eastAsia="等线"/>
                <w:sz w:val="20"/>
              </w:rPr>
              <w:t>/</w:t>
            </w:r>
          </w:p>
        </w:tc>
      </w:tr>
      <w:tr>
        <w:tc>
          <w:tcPr>
            <w:tcW w:type="dxa" w:w="3213"/>
          </w:tcPr>
          <w:p>
            <w:r>
              <w:rPr>
                <w:rFonts w:ascii="等线" w:hAnsi="等线" w:eastAsia="等线"/>
                <w:sz w:val="20"/>
              </w:rPr>
              <w:t>中水回用率</w:t>
            </w:r>
          </w:p>
        </w:tc>
        <w:tc>
          <w:tcPr>
            <w:tcW w:type="dxa" w:w="3213"/>
          </w:tcPr>
          <w:p>
            <w:r>
              <w:rPr>
                <w:rFonts w:ascii="等线" w:hAnsi="等线" w:eastAsia="等线"/>
                <w:sz w:val="20"/>
              </w:rPr>
              <w:t>%</w:t>
            </w:r>
          </w:p>
        </w:tc>
        <w:tc>
          <w:tcPr>
            <w:tcW w:type="dxa" w:w="3213"/>
          </w:tcPr>
          <w:p>
            <w:r>
              <w:rPr>
                <w:rFonts w:ascii="等线" w:hAnsi="等线" w:eastAsia="等线"/>
                <w:sz w:val="20"/>
              </w:rPr>
              <w:t>/</w:t>
            </w:r>
          </w:p>
        </w:tc>
      </w:tr>
      <w:tr>
        <w:tc>
          <w:tcPr>
            <w:tcW w:type="dxa" w:w="3213"/>
          </w:tcPr>
          <w:p>
            <w:r>
              <w:rPr>
                <w:rFonts w:ascii="等线" w:hAnsi="等线" w:eastAsia="等线"/>
                <w:sz w:val="20"/>
              </w:rPr>
              <w:t>处于高水风险地区运营点数量</w:t>
            </w:r>
          </w:p>
        </w:tc>
        <w:tc>
          <w:tcPr>
            <w:tcW w:type="dxa" w:w="3213"/>
          </w:tcPr>
          <w:p>
            <w:r>
              <w:rPr>
                <w:rFonts w:ascii="等线" w:hAnsi="等线" w:eastAsia="等线"/>
                <w:sz w:val="20"/>
              </w:rPr>
              <w:t>家</w:t>
            </w:r>
          </w:p>
        </w:tc>
        <w:tc>
          <w:tcPr>
            <w:tcW w:type="dxa" w:w="3213"/>
          </w:tcPr>
          <w:p>
            <w:r>
              <w:rPr>
                <w:rFonts w:ascii="等线" w:hAnsi="等线" w:eastAsia="等线"/>
                <w:sz w:val="20"/>
              </w:rPr>
              <w:t>/</w:t>
            </w:r>
          </w:p>
        </w:tc>
      </w:tr>
      <w:tr>
        <w:tc>
          <w:tcPr>
            <w:tcW w:type="dxa" w:w="3213"/>
          </w:tcPr>
          <w:p>
            <w:r>
              <w:rPr>
                <w:rFonts w:ascii="等线" w:hAnsi="等线" w:eastAsia="等线"/>
                <w:sz w:val="20"/>
              </w:rPr>
              <w:t>处于中水风险地区运营点数量</w:t>
            </w:r>
          </w:p>
        </w:tc>
        <w:tc>
          <w:tcPr>
            <w:tcW w:type="dxa" w:w="3213"/>
          </w:tcPr>
          <w:p>
            <w:r>
              <w:rPr>
                <w:rFonts w:ascii="等线" w:hAnsi="等线" w:eastAsia="等线"/>
                <w:sz w:val="20"/>
              </w:rPr>
              <w:t>家</w:t>
            </w:r>
          </w:p>
        </w:tc>
        <w:tc>
          <w:tcPr>
            <w:tcW w:type="dxa" w:w="3213"/>
          </w:tcPr>
          <w:p>
            <w:r>
              <w:rPr>
                <w:rFonts w:ascii="等线" w:hAnsi="等线" w:eastAsia="等线"/>
                <w:sz w:val="20"/>
              </w:rPr>
              <w:t>/</w:t>
            </w:r>
          </w:p>
        </w:tc>
      </w:tr>
    </w:tbl>
    <w:p>
      <w:r>
        <w:br/>
      </w:r>
    </w:p>
    <w:p>
      <w:r>
        <w:rPr>
          <w:rFonts w:ascii="等线" w:hAnsi="等线" w:eastAsia="等线"/>
          <w:sz w:val="44"/>
          <w:vertAlign w:val="superscript"/>
        </w:rPr>
        <w:t>社会贡献</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社会贡献</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捐赠情况</w:t>
            </w:r>
          </w:p>
        </w:tc>
        <w:tc>
          <w:tcPr>
            <w:tcW w:type="dxa" w:w="3213"/>
          </w:tcPr>
          <w:p>
            <w:r>
              <w:rPr>
                <w:rFonts w:ascii="等线" w:hAnsi="等线" w:eastAsia="等线"/>
                <w:sz w:val="20"/>
              </w:rPr>
              <w:t>万元</w:t>
            </w:r>
          </w:p>
        </w:tc>
        <w:tc>
          <w:tcPr>
            <w:tcW w:type="dxa" w:w="3213"/>
          </w:tcPr>
          <w:p>
            <w:r>
              <w:rPr>
                <w:rFonts w:ascii="等线" w:hAnsi="等线" w:eastAsia="等线"/>
                <w:sz w:val="20"/>
              </w:rPr>
              <w:t>/</w:t>
            </w:r>
          </w:p>
        </w:tc>
      </w:tr>
      <w:tr>
        <w:tc>
          <w:tcPr>
            <w:tcW w:type="dxa" w:w="3213"/>
          </w:tcPr>
          <w:p>
            <w:r>
              <w:rPr>
                <w:rFonts w:ascii="等线" w:hAnsi="等线" w:eastAsia="等线"/>
                <w:sz w:val="20"/>
              </w:rPr>
              <w:t>志愿活动时长</w:t>
            </w:r>
          </w:p>
        </w:tc>
        <w:tc>
          <w:tcPr>
            <w:tcW w:type="dxa" w:w="3213"/>
          </w:tcPr>
          <w:p>
            <w:r>
              <w:rPr>
                <w:rFonts w:ascii="等线" w:hAnsi="等线" w:eastAsia="等线"/>
                <w:sz w:val="20"/>
              </w:rPr>
              <w:t>小时</w:t>
            </w:r>
          </w:p>
        </w:tc>
        <w:tc>
          <w:tcPr>
            <w:tcW w:type="dxa" w:w="3213"/>
          </w:tcPr>
          <w:p>
            <w:r>
              <w:rPr>
                <w:rFonts w:ascii="等线" w:hAnsi="等线" w:eastAsia="等线"/>
                <w:sz w:val="20"/>
              </w:rPr>
              <w:t>/</w:t>
            </w:r>
          </w:p>
        </w:tc>
      </w:tr>
      <w:tr>
        <w:tc>
          <w:tcPr>
            <w:tcW w:type="dxa" w:w="3213"/>
          </w:tcPr>
          <w:p>
            <w:r>
              <w:rPr>
                <w:rFonts w:ascii="等线" w:hAnsi="等线" w:eastAsia="等线"/>
                <w:sz w:val="20"/>
              </w:rPr>
              <w:t>从当地社区雇佣高管的比例</w:t>
            </w:r>
          </w:p>
        </w:tc>
        <w:tc>
          <w:tcPr>
            <w:tcW w:type="dxa" w:w="3213"/>
          </w:tcPr>
          <w:p>
            <w:r>
              <w:rPr>
                <w:rFonts w:ascii="等线" w:hAnsi="等线" w:eastAsia="等线"/>
                <w:sz w:val="20"/>
              </w:rPr>
              <w:t>%</w:t>
            </w:r>
          </w:p>
        </w:tc>
        <w:tc>
          <w:tcPr>
            <w:tcW w:type="dxa" w:w="3213"/>
          </w:tcPr>
          <w:p>
            <w:r>
              <w:rPr>
                <w:rFonts w:ascii="等线" w:hAnsi="等线" w:eastAsia="等线"/>
                <w:sz w:val="20"/>
              </w:rPr>
              <w:t>/</w:t>
            </w:r>
          </w:p>
        </w:tc>
      </w:tr>
      <w:tr>
        <w:tc>
          <w:tcPr>
            <w:tcW w:type="dxa" w:w="3213"/>
          </w:tcPr>
          <w:p>
            <w:r>
              <w:rPr>
                <w:rFonts w:ascii="等线" w:hAnsi="等线" w:eastAsia="等线"/>
                <w:sz w:val="20"/>
              </w:rPr>
              <w:t>向当地供应商采购的支出比例</w:t>
            </w:r>
          </w:p>
        </w:tc>
        <w:tc>
          <w:tcPr>
            <w:tcW w:type="dxa" w:w="3213"/>
          </w:tcPr>
          <w:p>
            <w:r>
              <w:rPr>
                <w:rFonts w:ascii="等线" w:hAnsi="等线" w:eastAsia="等线"/>
                <w:sz w:val="20"/>
              </w:rPr>
              <w:t>%</w:t>
            </w:r>
          </w:p>
        </w:tc>
        <w:tc>
          <w:tcPr>
            <w:tcW w:type="dxa" w:w="3213"/>
          </w:tcPr>
          <w:p>
            <w:r>
              <w:rPr>
                <w:rFonts w:ascii="等线" w:hAnsi="等线" w:eastAsia="等线"/>
                <w:sz w:val="20"/>
              </w:rPr>
              <w:t>/</w:t>
            </w:r>
          </w:p>
        </w:tc>
      </w:tr>
      <w:tr>
        <w:tc>
          <w:tcPr>
            <w:tcW w:type="dxa" w:w="3213"/>
          </w:tcPr>
          <w:p>
            <w:r>
              <w:rPr>
                <w:rFonts w:ascii="等线" w:hAnsi="等线" w:eastAsia="等线"/>
                <w:sz w:val="20"/>
              </w:rPr>
              <w:t>对当地社区有实际或潜在重大负面影响的运营点</w:t>
            </w:r>
          </w:p>
        </w:tc>
        <w:tc>
          <w:tcPr>
            <w:tcW w:type="dxa" w:w="3213"/>
          </w:tcPr>
          <w:p>
            <w:r>
              <w:rPr>
                <w:rFonts w:ascii="等线" w:hAnsi="等线" w:eastAsia="等线"/>
                <w:sz w:val="20"/>
              </w:rPr>
              <w:t>家</w:t>
            </w:r>
          </w:p>
        </w:tc>
        <w:tc>
          <w:tcPr>
            <w:tcW w:type="dxa" w:w="3213"/>
          </w:tcPr>
          <w:p>
            <w:r>
              <w:rPr>
                <w:rFonts w:ascii="等线" w:hAnsi="等线" w:eastAsia="等线"/>
                <w:sz w:val="20"/>
              </w:rPr>
              <w:t>/</w:t>
            </w:r>
          </w:p>
        </w:tc>
      </w:tr>
      <w:tr>
        <w:tc>
          <w:tcPr>
            <w:tcW w:type="dxa" w:w="3213"/>
          </w:tcPr>
          <w:p>
            <w:r>
              <w:rPr>
                <w:rFonts w:ascii="等线" w:hAnsi="等线" w:eastAsia="等线"/>
                <w:sz w:val="20"/>
              </w:rPr>
              <w:t>人均志愿活动时长</w:t>
            </w:r>
          </w:p>
        </w:tc>
        <w:tc>
          <w:tcPr>
            <w:tcW w:type="dxa" w:w="3213"/>
          </w:tcPr>
          <w:p>
            <w:r>
              <w:rPr>
                <w:rFonts w:ascii="等线" w:hAnsi="等线" w:eastAsia="等线"/>
                <w:sz w:val="20"/>
              </w:rPr>
              <w:t>小时</w:t>
            </w:r>
          </w:p>
        </w:tc>
        <w:tc>
          <w:tcPr>
            <w:tcW w:type="dxa" w:w="3213"/>
          </w:tcPr>
          <w:p>
            <w:r>
              <w:rPr>
                <w:rFonts w:ascii="等线" w:hAnsi="等线" w:eastAsia="等线"/>
                <w:sz w:val="20"/>
              </w:rPr>
              <w:t>/</w:t>
            </w:r>
          </w:p>
        </w:tc>
      </w:tr>
    </w:tbl>
    <w:p>
      <w:r>
        <w:br/>
      </w:r>
    </w:p>
    <w:p>
      <w:r>
        <w:rPr>
          <w:rFonts w:ascii="等线" w:hAnsi="等线" w:eastAsia="等线"/>
          <w:sz w:val="44"/>
          <w:vertAlign w:val="superscript"/>
        </w:rPr>
        <w:t>创新驱动</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创新驱动</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研发投入</w:t>
            </w:r>
          </w:p>
        </w:tc>
        <w:tc>
          <w:tcPr>
            <w:tcW w:type="dxa" w:w="3213"/>
          </w:tcPr>
          <w:p>
            <w:r>
              <w:rPr>
                <w:rFonts w:ascii="等线" w:hAnsi="等线" w:eastAsia="等线"/>
                <w:sz w:val="20"/>
              </w:rPr>
              <w:t>万元</w:t>
            </w:r>
          </w:p>
        </w:tc>
        <w:tc>
          <w:tcPr>
            <w:tcW w:type="dxa" w:w="3213"/>
          </w:tcPr>
          <w:p>
            <w:r>
              <w:rPr>
                <w:rFonts w:ascii="等线" w:hAnsi="等线" w:eastAsia="等线"/>
                <w:sz w:val="20"/>
              </w:rPr>
              <w:t>/</w:t>
            </w:r>
          </w:p>
        </w:tc>
      </w:tr>
      <w:tr>
        <w:tc>
          <w:tcPr>
            <w:tcW w:type="dxa" w:w="3213"/>
          </w:tcPr>
          <w:p>
            <w:r>
              <w:rPr>
                <w:rFonts w:ascii="等线" w:hAnsi="等线" w:eastAsia="等线"/>
                <w:sz w:val="20"/>
              </w:rPr>
              <w:t>研发投入占营收比</w:t>
            </w:r>
          </w:p>
        </w:tc>
        <w:tc>
          <w:tcPr>
            <w:tcW w:type="dxa" w:w="3213"/>
          </w:tcPr>
          <w:p>
            <w:r>
              <w:rPr>
                <w:rFonts w:ascii="等线" w:hAnsi="等线" w:eastAsia="等线"/>
                <w:sz w:val="20"/>
              </w:rPr>
              <w:t>%</w:t>
            </w:r>
          </w:p>
        </w:tc>
        <w:tc>
          <w:tcPr>
            <w:tcW w:type="dxa" w:w="3213"/>
          </w:tcPr>
          <w:p>
            <w:r>
              <w:rPr>
                <w:rFonts w:ascii="等线" w:hAnsi="等线" w:eastAsia="等线"/>
                <w:sz w:val="20"/>
              </w:rPr>
              <w:t>/</w:t>
            </w:r>
          </w:p>
        </w:tc>
      </w:tr>
      <w:tr>
        <w:tc>
          <w:tcPr>
            <w:tcW w:type="dxa" w:w="3213"/>
          </w:tcPr>
          <w:p>
            <w:r>
              <w:rPr>
                <w:rFonts w:ascii="等线" w:hAnsi="等线" w:eastAsia="等线"/>
                <w:sz w:val="20"/>
              </w:rPr>
              <w:t>获得专利数量</w:t>
            </w:r>
          </w:p>
        </w:tc>
        <w:tc>
          <w:tcPr>
            <w:tcW w:type="dxa" w:w="3213"/>
          </w:tcPr>
          <w:p>
            <w:r>
              <w:rPr>
                <w:rFonts w:ascii="等线" w:hAnsi="等线" w:eastAsia="等线"/>
                <w:sz w:val="20"/>
              </w:rPr>
              <w:t>个</w:t>
            </w:r>
          </w:p>
        </w:tc>
        <w:tc>
          <w:tcPr>
            <w:tcW w:type="dxa" w:w="3213"/>
          </w:tcPr>
          <w:p>
            <w:r>
              <w:rPr>
                <w:rFonts w:ascii="等线" w:hAnsi="等线" w:eastAsia="等线"/>
                <w:sz w:val="20"/>
              </w:rPr>
              <w:t>/</w:t>
            </w:r>
          </w:p>
        </w:tc>
      </w:tr>
    </w:tbl>
    <w:p>
      <w:r>
        <w:br/>
      </w:r>
    </w:p>
    <w:p>
      <w:r>
        <w:rPr>
          <w:rFonts w:ascii="等线" w:hAnsi="等线" w:eastAsia="等线"/>
          <w:sz w:val="44"/>
          <w:vertAlign w:val="superscript"/>
        </w:rPr>
        <w:t>供应链安全</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供应链安全</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供应商数量</w:t>
            </w:r>
          </w:p>
        </w:tc>
        <w:tc>
          <w:tcPr>
            <w:tcW w:type="dxa" w:w="3213"/>
          </w:tcPr>
          <w:p>
            <w:r>
              <w:rPr>
                <w:rFonts w:ascii="等线" w:hAnsi="等线" w:eastAsia="等线"/>
                <w:sz w:val="20"/>
              </w:rPr>
              <w:t>家</w:t>
            </w:r>
          </w:p>
        </w:tc>
        <w:tc>
          <w:tcPr>
            <w:tcW w:type="dxa" w:w="3213"/>
          </w:tcPr>
          <w:p>
            <w:r>
              <w:rPr>
                <w:rFonts w:ascii="等线" w:hAnsi="等线" w:eastAsia="等线"/>
                <w:sz w:val="20"/>
              </w:rPr>
              <w:t>/</w:t>
            </w:r>
          </w:p>
        </w:tc>
      </w:tr>
      <w:tr>
        <w:tc>
          <w:tcPr>
            <w:tcW w:type="dxa" w:w="3213"/>
          </w:tcPr>
          <w:p>
            <w:r>
              <w:rPr>
                <w:rFonts w:ascii="等线" w:hAnsi="等线" w:eastAsia="等线"/>
                <w:sz w:val="20"/>
              </w:rPr>
              <w:t>经过认证的供应商数量</w:t>
            </w:r>
          </w:p>
        </w:tc>
        <w:tc>
          <w:tcPr>
            <w:tcW w:type="dxa" w:w="3213"/>
          </w:tcPr>
          <w:p>
            <w:r>
              <w:rPr>
                <w:rFonts w:ascii="等线" w:hAnsi="等线" w:eastAsia="等线"/>
                <w:sz w:val="20"/>
              </w:rPr>
              <w:t>家</w:t>
            </w:r>
          </w:p>
        </w:tc>
        <w:tc>
          <w:tcPr>
            <w:tcW w:type="dxa" w:w="3213"/>
          </w:tcPr>
          <w:p>
            <w:r>
              <w:rPr>
                <w:rFonts w:ascii="等线" w:hAnsi="等线" w:eastAsia="等线"/>
                <w:sz w:val="20"/>
              </w:rPr>
              <w:t>/</w:t>
            </w:r>
          </w:p>
        </w:tc>
      </w:tr>
    </w:tbl>
    <w:p>
      <w:r>
        <w:br/>
      </w:r>
    </w:p>
    <w:p>
      <w:r>
        <w:rPr>
          <w:rFonts w:ascii="等线" w:hAnsi="等线" w:eastAsia="等线"/>
          <w:sz w:val="44"/>
          <w:vertAlign w:val="superscript"/>
        </w:rPr>
        <w:t>产品和服务安全与质量</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产品和服务安全与质量</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产品相关纠纷数量</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r>
        <w:tc>
          <w:tcPr>
            <w:tcW w:type="dxa" w:w="3213"/>
          </w:tcPr>
          <w:p>
            <w:r>
              <w:rPr>
                <w:rFonts w:ascii="等线" w:hAnsi="等线" w:eastAsia="等线"/>
                <w:sz w:val="20"/>
              </w:rPr>
              <w:t>产品召回次数</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r>
        <w:tc>
          <w:tcPr>
            <w:tcW w:type="dxa" w:w="3213"/>
          </w:tcPr>
          <w:p>
            <w:r>
              <w:rPr>
                <w:rFonts w:ascii="等线" w:hAnsi="等线" w:eastAsia="等线"/>
                <w:sz w:val="20"/>
              </w:rPr>
              <w:t>产品合格率</w:t>
            </w:r>
          </w:p>
        </w:tc>
        <w:tc>
          <w:tcPr>
            <w:tcW w:type="dxa" w:w="3213"/>
          </w:tcPr>
          <w:p>
            <w:r>
              <w:rPr>
                <w:rFonts w:ascii="等线" w:hAnsi="等线" w:eastAsia="等线"/>
                <w:sz w:val="20"/>
              </w:rPr>
              <w:t>%</w:t>
            </w:r>
          </w:p>
        </w:tc>
        <w:tc>
          <w:tcPr>
            <w:tcW w:type="dxa" w:w="3213"/>
          </w:tcPr>
          <w:p>
            <w:r>
              <w:rPr>
                <w:rFonts w:ascii="等线" w:hAnsi="等线" w:eastAsia="等线"/>
                <w:sz w:val="20"/>
              </w:rPr>
              <w:t>/</w:t>
            </w:r>
          </w:p>
        </w:tc>
      </w:tr>
      <w:tr>
        <w:tc>
          <w:tcPr>
            <w:tcW w:type="dxa" w:w="3213"/>
          </w:tcPr>
          <w:p>
            <w:r>
              <w:rPr>
                <w:rFonts w:ascii="等线" w:hAnsi="等线" w:eastAsia="等线"/>
                <w:sz w:val="20"/>
              </w:rPr>
              <w:t>客户满意度</w:t>
            </w:r>
          </w:p>
        </w:tc>
        <w:tc>
          <w:tcPr>
            <w:tcW w:type="dxa" w:w="3213"/>
          </w:tcPr>
          <w:p>
            <w:r>
              <w:rPr>
                <w:rFonts w:ascii="等线" w:hAnsi="等线" w:eastAsia="等线"/>
                <w:sz w:val="20"/>
              </w:rPr>
              <w:t>%</w:t>
            </w:r>
          </w:p>
        </w:tc>
        <w:tc>
          <w:tcPr>
            <w:tcW w:type="dxa" w:w="3213"/>
          </w:tcPr>
          <w:p>
            <w:r>
              <w:rPr>
                <w:rFonts w:ascii="等线" w:hAnsi="等线" w:eastAsia="等线"/>
                <w:sz w:val="20"/>
              </w:rPr>
              <w:t>/</w:t>
            </w:r>
          </w:p>
        </w:tc>
      </w:tr>
      <w:tr>
        <w:tc>
          <w:tcPr>
            <w:tcW w:type="dxa" w:w="3213"/>
          </w:tcPr>
          <w:p>
            <w:r>
              <w:rPr>
                <w:rFonts w:ascii="等线" w:hAnsi="等线" w:eastAsia="等线"/>
                <w:sz w:val="20"/>
              </w:rPr>
              <w:t>客户投诉次数</w:t>
            </w:r>
          </w:p>
        </w:tc>
        <w:tc>
          <w:tcPr>
            <w:tcW w:type="dxa" w:w="3213"/>
          </w:tcPr>
          <w:p>
            <w:r>
              <w:rPr>
                <w:rFonts w:ascii="等线" w:hAnsi="等线" w:eastAsia="等线"/>
                <w:sz w:val="20"/>
              </w:rPr>
              <w:t>%</w:t>
            </w:r>
          </w:p>
        </w:tc>
        <w:tc>
          <w:tcPr>
            <w:tcW w:type="dxa" w:w="3213"/>
          </w:tcPr>
          <w:p>
            <w:r>
              <w:rPr>
                <w:rFonts w:ascii="等线" w:hAnsi="等线" w:eastAsia="等线"/>
                <w:sz w:val="20"/>
              </w:rPr>
              <w:t>/</w:t>
            </w:r>
          </w:p>
        </w:tc>
      </w:tr>
    </w:tbl>
    <w:p>
      <w:r>
        <w:br/>
      </w:r>
    </w:p>
    <w:p>
      <w:r>
        <w:rPr>
          <w:rFonts w:ascii="等线" w:hAnsi="等线" w:eastAsia="等线"/>
          <w:sz w:val="44"/>
          <w:vertAlign w:val="superscript"/>
        </w:rPr>
        <w:t>数据安全与客户隐私保护</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数据安全与客户隐私保护</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网络安全事件数量</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r>
        <w:tc>
          <w:tcPr>
            <w:tcW w:type="dxa" w:w="3213"/>
          </w:tcPr>
          <w:p>
            <w:r>
              <w:rPr>
                <w:rFonts w:ascii="等线" w:hAnsi="等线" w:eastAsia="等线"/>
                <w:sz w:val="20"/>
              </w:rPr>
              <w:t>隐私泄露事件数量</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bl>
    <w:p>
      <w:r>
        <w:br/>
      </w:r>
    </w:p>
    <w:p>
      <w:r>
        <w:rPr>
          <w:rFonts w:ascii="等线" w:hAnsi="等线" w:eastAsia="等线"/>
          <w:sz w:val="44"/>
          <w:vertAlign w:val="superscript"/>
        </w:rPr>
        <w:t>员工</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员工</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员工人数：男性</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员工人数：女性</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离职人数</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离职人数：男性</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离职人数：女性</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员工人数</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员工培训时长</w:t>
            </w:r>
          </w:p>
        </w:tc>
        <w:tc>
          <w:tcPr>
            <w:tcW w:type="dxa" w:w="3213"/>
          </w:tcPr>
          <w:p>
            <w:r>
              <w:rPr>
                <w:rFonts w:ascii="等线" w:hAnsi="等线" w:eastAsia="等线"/>
                <w:sz w:val="20"/>
              </w:rPr>
              <w:t>小时</w:t>
            </w:r>
          </w:p>
        </w:tc>
        <w:tc>
          <w:tcPr>
            <w:tcW w:type="dxa" w:w="3213"/>
          </w:tcPr>
          <w:p>
            <w:r>
              <w:rPr>
                <w:rFonts w:ascii="等线" w:hAnsi="等线" w:eastAsia="等线"/>
                <w:sz w:val="20"/>
              </w:rPr>
              <w:t>/</w:t>
            </w:r>
          </w:p>
        </w:tc>
      </w:tr>
      <w:tr>
        <w:tc>
          <w:tcPr>
            <w:tcW w:type="dxa" w:w="3213"/>
          </w:tcPr>
          <w:p>
            <w:r>
              <w:rPr>
                <w:rFonts w:ascii="等线" w:hAnsi="等线" w:eastAsia="等线"/>
                <w:sz w:val="20"/>
              </w:rPr>
              <w:t>员工培训时长：男性</w:t>
            </w:r>
          </w:p>
        </w:tc>
        <w:tc>
          <w:tcPr>
            <w:tcW w:type="dxa" w:w="3213"/>
          </w:tcPr>
          <w:p>
            <w:r>
              <w:rPr>
                <w:rFonts w:ascii="等线" w:hAnsi="等线" w:eastAsia="等线"/>
                <w:sz w:val="20"/>
              </w:rPr>
              <w:t>小时</w:t>
            </w:r>
          </w:p>
        </w:tc>
        <w:tc>
          <w:tcPr>
            <w:tcW w:type="dxa" w:w="3213"/>
          </w:tcPr>
          <w:p>
            <w:r>
              <w:rPr>
                <w:rFonts w:ascii="等线" w:hAnsi="等线" w:eastAsia="等线"/>
                <w:sz w:val="20"/>
              </w:rPr>
              <w:t>/</w:t>
            </w:r>
          </w:p>
        </w:tc>
      </w:tr>
      <w:tr>
        <w:tc>
          <w:tcPr>
            <w:tcW w:type="dxa" w:w="3213"/>
          </w:tcPr>
          <w:p>
            <w:r>
              <w:rPr>
                <w:rFonts w:ascii="等线" w:hAnsi="等线" w:eastAsia="等线"/>
                <w:sz w:val="20"/>
              </w:rPr>
              <w:t>员工培训时长：女性</w:t>
            </w:r>
          </w:p>
        </w:tc>
        <w:tc>
          <w:tcPr>
            <w:tcW w:type="dxa" w:w="3213"/>
          </w:tcPr>
          <w:p>
            <w:r>
              <w:rPr>
                <w:rFonts w:ascii="等线" w:hAnsi="等线" w:eastAsia="等线"/>
                <w:sz w:val="20"/>
              </w:rPr>
              <w:t>小时</w:t>
            </w:r>
          </w:p>
        </w:tc>
        <w:tc>
          <w:tcPr>
            <w:tcW w:type="dxa" w:w="3213"/>
          </w:tcPr>
          <w:p>
            <w:r>
              <w:rPr>
                <w:rFonts w:ascii="等线" w:hAnsi="等线" w:eastAsia="等线"/>
                <w:sz w:val="20"/>
              </w:rPr>
              <w:t>/</w:t>
            </w:r>
          </w:p>
        </w:tc>
      </w:tr>
      <w:tr>
        <w:tc>
          <w:tcPr>
            <w:tcW w:type="dxa" w:w="3213"/>
          </w:tcPr>
          <w:p>
            <w:r>
              <w:rPr>
                <w:rFonts w:ascii="等线" w:hAnsi="等线" w:eastAsia="等线"/>
                <w:sz w:val="20"/>
              </w:rPr>
              <w:t>工伤人数</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工亡人数</w:t>
            </w:r>
          </w:p>
        </w:tc>
        <w:tc>
          <w:tcPr>
            <w:tcW w:type="dxa" w:w="3213"/>
          </w:tcPr>
          <w:p>
            <w:r>
              <w:rPr>
                <w:rFonts w:ascii="等线" w:hAnsi="等线" w:eastAsia="等线"/>
                <w:sz w:val="20"/>
              </w:rPr>
              <w:t>人</w:t>
            </w:r>
          </w:p>
        </w:tc>
        <w:tc>
          <w:tcPr>
            <w:tcW w:type="dxa" w:w="3213"/>
          </w:tcPr>
          <w:p>
            <w:r>
              <w:rPr>
                <w:rFonts w:ascii="等线" w:hAnsi="等线" w:eastAsia="等线"/>
                <w:sz w:val="20"/>
              </w:rPr>
              <w:t>/</w:t>
            </w:r>
          </w:p>
        </w:tc>
      </w:tr>
      <w:tr>
        <w:tc>
          <w:tcPr>
            <w:tcW w:type="dxa" w:w="3213"/>
          </w:tcPr>
          <w:p>
            <w:r>
              <w:rPr>
                <w:rFonts w:ascii="等线" w:hAnsi="等线" w:eastAsia="等线"/>
                <w:sz w:val="20"/>
              </w:rPr>
              <w:t>工伤率（工伤/百万工时）</w:t>
            </w:r>
          </w:p>
        </w:tc>
        <w:tc>
          <w:tcPr>
            <w:tcW w:type="dxa" w:w="3213"/>
          </w:tcPr>
          <w:p>
            <w:r>
              <w:rPr>
                <w:rFonts w:ascii="等线" w:hAnsi="等线" w:eastAsia="等线"/>
                <w:sz w:val="20"/>
              </w:rPr>
              <w:t>人次</w:t>
            </w:r>
          </w:p>
        </w:tc>
        <w:tc>
          <w:tcPr>
            <w:tcW w:type="dxa" w:w="3213"/>
          </w:tcPr>
          <w:p>
            <w:r>
              <w:rPr>
                <w:rFonts w:ascii="等线" w:hAnsi="等线" w:eastAsia="等线"/>
                <w:sz w:val="20"/>
              </w:rPr>
              <w:t>/</w:t>
            </w:r>
          </w:p>
        </w:tc>
      </w:tr>
      <w:tr>
        <w:tc>
          <w:tcPr>
            <w:tcW w:type="dxa" w:w="3213"/>
          </w:tcPr>
          <w:p>
            <w:r>
              <w:rPr>
                <w:rFonts w:ascii="等线" w:hAnsi="等线" w:eastAsia="等线"/>
                <w:sz w:val="20"/>
              </w:rPr>
              <w:t>工亡率（工亡/百万工时）</w:t>
            </w:r>
          </w:p>
        </w:tc>
        <w:tc>
          <w:tcPr>
            <w:tcW w:type="dxa" w:w="3213"/>
          </w:tcPr>
          <w:p>
            <w:r>
              <w:rPr>
                <w:rFonts w:ascii="等线" w:hAnsi="等线" w:eastAsia="等线"/>
                <w:sz w:val="20"/>
              </w:rPr>
              <w:t>人次</w:t>
            </w:r>
          </w:p>
        </w:tc>
        <w:tc>
          <w:tcPr>
            <w:tcW w:type="dxa" w:w="3213"/>
          </w:tcPr>
          <w:p>
            <w:r>
              <w:rPr>
                <w:rFonts w:ascii="等线" w:hAnsi="等线" w:eastAsia="等线"/>
                <w:sz w:val="20"/>
              </w:rPr>
              <w:t>/</w:t>
            </w:r>
          </w:p>
        </w:tc>
      </w:tr>
      <w:tr>
        <w:tc>
          <w:tcPr>
            <w:tcW w:type="dxa" w:w="3213"/>
          </w:tcPr>
          <w:p>
            <w:r>
              <w:rPr>
                <w:rFonts w:ascii="等线" w:hAnsi="等线" w:eastAsia="等线"/>
                <w:sz w:val="20"/>
              </w:rPr>
              <w:t>员工离职率</w:t>
            </w:r>
          </w:p>
        </w:tc>
        <w:tc>
          <w:tcPr>
            <w:tcW w:type="dxa" w:w="3213"/>
          </w:tcPr>
          <w:p>
            <w:r>
              <w:rPr>
                <w:rFonts w:ascii="等线" w:hAnsi="等线" w:eastAsia="等线"/>
                <w:sz w:val="20"/>
              </w:rPr>
            </w:r>
          </w:p>
        </w:tc>
        <w:tc>
          <w:tcPr>
            <w:tcW w:type="dxa" w:w="3213"/>
          </w:tcPr>
          <w:p>
            <w:r>
              <w:rPr>
                <w:rFonts w:ascii="等线" w:hAnsi="等线" w:eastAsia="等线"/>
                <w:sz w:val="20"/>
              </w:rPr>
              <w:t>/</w:t>
            </w:r>
          </w:p>
        </w:tc>
      </w:tr>
      <w:tr>
        <w:tc>
          <w:tcPr>
            <w:tcW w:type="dxa" w:w="3213"/>
          </w:tcPr>
          <w:p>
            <w:r>
              <w:rPr>
                <w:rFonts w:ascii="等线" w:hAnsi="等线" w:eastAsia="等线"/>
                <w:sz w:val="20"/>
              </w:rPr>
              <w:t>员工人均培训时长</w:t>
            </w:r>
          </w:p>
        </w:tc>
        <w:tc>
          <w:tcPr>
            <w:tcW w:type="dxa" w:w="3213"/>
          </w:tcPr>
          <w:p>
            <w:r>
              <w:rPr>
                <w:rFonts w:ascii="等线" w:hAnsi="等线" w:eastAsia="等线"/>
                <w:sz w:val="20"/>
              </w:rPr>
              <w:t>小时</w:t>
            </w:r>
          </w:p>
        </w:tc>
        <w:tc>
          <w:tcPr>
            <w:tcW w:type="dxa" w:w="3213"/>
          </w:tcPr>
          <w:p>
            <w:r>
              <w:rPr>
                <w:rFonts w:ascii="等线" w:hAnsi="等线" w:eastAsia="等线"/>
                <w:sz w:val="20"/>
              </w:rPr>
              <w:t>/</w:t>
            </w:r>
          </w:p>
        </w:tc>
      </w:tr>
      <w:tr>
        <w:tc>
          <w:tcPr>
            <w:tcW w:type="dxa" w:w="3213"/>
          </w:tcPr>
          <w:p>
            <w:r>
              <w:rPr>
                <w:rFonts w:ascii="等线" w:hAnsi="等线" w:eastAsia="等线"/>
                <w:sz w:val="20"/>
              </w:rPr>
              <w:t>社保覆盖率</w:t>
            </w:r>
          </w:p>
        </w:tc>
        <w:tc>
          <w:tcPr>
            <w:tcW w:type="dxa" w:w="3213"/>
          </w:tcPr>
          <w:p>
            <w:r>
              <w:rPr>
                <w:rFonts w:ascii="等线" w:hAnsi="等线" w:eastAsia="等线"/>
                <w:sz w:val="20"/>
              </w:rPr>
              <w:t>%</w:t>
            </w:r>
          </w:p>
        </w:tc>
        <w:tc>
          <w:tcPr>
            <w:tcW w:type="dxa" w:w="3213"/>
          </w:tcPr>
          <w:p>
            <w:r>
              <w:rPr>
                <w:rFonts w:ascii="等线" w:hAnsi="等线" w:eastAsia="等线"/>
                <w:sz w:val="20"/>
              </w:rPr>
              <w:t>/</w:t>
            </w:r>
          </w:p>
        </w:tc>
      </w:tr>
      <w:tr>
        <w:tc>
          <w:tcPr>
            <w:tcW w:type="dxa" w:w="3213"/>
          </w:tcPr>
          <w:p>
            <w:r>
              <w:rPr>
                <w:rFonts w:ascii="等线" w:hAnsi="等线" w:eastAsia="等线"/>
                <w:sz w:val="20"/>
              </w:rPr>
              <w:t>人均带薪年休假天数</w:t>
            </w:r>
          </w:p>
        </w:tc>
        <w:tc>
          <w:tcPr>
            <w:tcW w:type="dxa" w:w="3213"/>
          </w:tcPr>
          <w:p>
            <w:r>
              <w:rPr>
                <w:rFonts w:ascii="等线" w:hAnsi="等线" w:eastAsia="等线"/>
                <w:sz w:val="20"/>
              </w:rPr>
              <w:t>天</w:t>
            </w:r>
          </w:p>
        </w:tc>
        <w:tc>
          <w:tcPr>
            <w:tcW w:type="dxa" w:w="3213"/>
          </w:tcPr>
          <w:p>
            <w:r>
              <w:rPr>
                <w:rFonts w:ascii="等线" w:hAnsi="等线" w:eastAsia="等线"/>
                <w:sz w:val="20"/>
              </w:rPr>
              <w:t>/</w:t>
            </w:r>
          </w:p>
        </w:tc>
      </w:tr>
    </w:tbl>
    <w:p>
      <w:r>
        <w:br/>
      </w:r>
    </w:p>
    <w:p>
      <w:r>
        <w:rPr>
          <w:rFonts w:ascii="等线" w:hAnsi="等线" w:eastAsia="等线"/>
          <w:sz w:val="44"/>
          <w:vertAlign w:val="superscript"/>
        </w:rPr>
        <w:t>反商业贿赂及反贪污</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反商业贿赂及反贪污</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经确认的腐败事件</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r>
        <w:tc>
          <w:tcPr>
            <w:tcW w:type="dxa" w:w="3213"/>
          </w:tcPr>
          <w:p>
            <w:r>
              <w:rPr>
                <w:rFonts w:ascii="等线" w:hAnsi="等线" w:eastAsia="等线"/>
                <w:sz w:val="20"/>
              </w:rPr>
              <w:t>已进行腐败风险评估的运营点</w:t>
            </w:r>
          </w:p>
        </w:tc>
        <w:tc>
          <w:tcPr>
            <w:tcW w:type="dxa" w:w="3213"/>
          </w:tcPr>
          <w:p>
            <w:r>
              <w:rPr>
                <w:rFonts w:ascii="等线" w:hAnsi="等线" w:eastAsia="等线"/>
                <w:sz w:val="20"/>
              </w:rPr>
              <w:t>家</w:t>
            </w:r>
          </w:p>
        </w:tc>
        <w:tc>
          <w:tcPr>
            <w:tcW w:type="dxa" w:w="3213"/>
          </w:tcPr>
          <w:p>
            <w:r>
              <w:rPr>
                <w:rFonts w:ascii="等线" w:hAnsi="等线" w:eastAsia="等线"/>
                <w:sz w:val="20"/>
              </w:rPr>
              <w:t>/</w:t>
            </w:r>
          </w:p>
        </w:tc>
      </w:tr>
    </w:tbl>
    <w:p>
      <w:r>
        <w:br/>
      </w:r>
    </w:p>
    <w:p>
      <w:r>
        <w:rPr>
          <w:rFonts w:ascii="等线" w:hAnsi="等线" w:eastAsia="等线"/>
          <w:sz w:val="44"/>
          <w:vertAlign w:val="superscript"/>
        </w:rPr>
        <w:t>反不正当竞争</w:t>
      </w:r>
    </w:p>
    <w:tbl>
      <w:tblPr>
        <w:tblStyle w:val="TableGrid"/>
        <w:tblW w:type="auto" w:w="0"/>
        <w:tblLook w:firstColumn="1" w:firstRow="1" w:lastColumn="0" w:lastRow="0" w:noHBand="0" w:noVBand="1" w:val="04A0"/>
      </w:tblPr>
      <w:tblGrid>
        <w:gridCol w:w="3213"/>
        <w:gridCol w:w="3213"/>
        <w:gridCol w:w="3213"/>
      </w:tblGrid>
      <w:tr>
        <w:tc>
          <w:tcPr>
            <w:tcW w:type="dxa" w:w="3213"/>
            <w:shd w:fill="f5f2f0"/>
          </w:tcPr>
          <w:p>
            <w:r>
              <w:rPr>
                <w:rFonts w:ascii="等线" w:hAnsi="等线" w:eastAsia="等线"/>
                <w:sz w:val="20"/>
              </w:rPr>
              <w:t>反不正当竞争</w:t>
            </w:r>
          </w:p>
        </w:tc>
        <w:tc>
          <w:tcPr>
            <w:tcW w:type="dxa" w:w="3213"/>
            <w:shd w:fill="f5f2f0"/>
          </w:tcPr>
          <w:p>
            <w:r>
              <w:rPr>
                <w:rFonts w:ascii="等线" w:hAnsi="等线" w:eastAsia="等线"/>
                <w:sz w:val="20"/>
              </w:rPr>
              <w:t>单位</w:t>
            </w:r>
          </w:p>
        </w:tc>
        <w:tc>
          <w:tcPr>
            <w:tcW w:type="dxa" w:w="3213"/>
            <w:shd w:fill="f5f2f0"/>
          </w:tcPr>
          <w:p>
            <w:r>
              <w:rPr>
                <w:rFonts w:ascii="等线" w:hAnsi="等线" w:eastAsia="等线"/>
                <w:sz w:val="20"/>
              </w:rPr>
              <w:t>2023</w:t>
            </w:r>
          </w:p>
        </w:tc>
      </w:tr>
      <w:tr>
        <w:tc>
          <w:tcPr>
            <w:tcW w:type="dxa" w:w="3213"/>
          </w:tcPr>
          <w:p>
            <w:r>
              <w:rPr>
                <w:rFonts w:ascii="等线" w:hAnsi="等线" w:eastAsia="等线"/>
                <w:sz w:val="20"/>
              </w:rPr>
              <w:t>垄断或不正当竞争纠纷数量</w:t>
            </w:r>
          </w:p>
        </w:tc>
        <w:tc>
          <w:tcPr>
            <w:tcW w:type="dxa" w:w="3213"/>
          </w:tcPr>
          <w:p>
            <w:r>
              <w:rPr>
                <w:rFonts w:ascii="等线" w:hAnsi="等线" w:eastAsia="等线"/>
                <w:sz w:val="20"/>
              </w:rPr>
              <w:t>次</w:t>
            </w:r>
          </w:p>
        </w:tc>
        <w:tc>
          <w:tcPr>
            <w:tcW w:type="dxa" w:w="3213"/>
          </w:tcPr>
          <w:p>
            <w:r>
              <w:rPr>
                <w:rFonts w:ascii="等线" w:hAnsi="等线" w:eastAsia="等线"/>
                <w:sz w:val="20"/>
              </w:rPr>
              <w:t>/</w:t>
            </w:r>
          </w:p>
        </w:tc>
      </w:tr>
    </w:tbl>
    <w:p>
      <w:r>
        <w:br/>
      </w:r>
    </w:p>
    <w:p>
      <w:r>
        <w:br w:type="page"/>
      </w:r>
    </w:p>
    <w:p>
      <w:pPr>
        <w:pStyle w:val="Heading1"/>
      </w:pPr>
      <w:r>
        <w:rPr>
          <w:rFonts w:ascii="等线" w:hAnsi="等线" w:eastAsia="等线"/>
          <w:color w:val="000000"/>
          <w:sz w:val="44"/>
        </w:rPr>
        <w:t>标准索引表</w:t>
      </w:r>
    </w:p>
    <w:p>
      <w:r>
        <w:rPr>
          <w:rFonts w:ascii="等线" w:hAnsi="等线" w:eastAsia="等线"/>
          <w:sz w:val="44"/>
          <w:vertAlign w:val="superscript"/>
        </w:rPr>
        <w:t>GRI Standards</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rPr>
                <w:rFonts w:ascii="等线" w:hAnsi="等线" w:eastAsia="等线"/>
                <w:sz w:val="20"/>
              </w:rPr>
              <w:t>披露项编号</w:t>
            </w:r>
          </w:p>
        </w:tc>
        <w:tc>
          <w:tcPr>
            <w:tcW w:type="dxa" w:w="2409"/>
            <w:shd w:fill="f5f2f0"/>
          </w:tcPr>
          <w:p>
            <w:r>
              <w:rPr>
                <w:rFonts w:ascii="等线" w:hAnsi="等线" w:eastAsia="等线"/>
                <w:sz w:val="20"/>
              </w:rPr>
              <w:t>披露议题</w:t>
            </w:r>
          </w:p>
        </w:tc>
        <w:tc>
          <w:tcPr>
            <w:tcW w:type="dxa" w:w="2409"/>
            <w:shd w:fill="f5f2f0"/>
          </w:tcPr>
          <w:p>
            <w:r>
              <w:rPr>
                <w:rFonts w:ascii="等线" w:hAnsi="等线" w:eastAsia="等线"/>
                <w:sz w:val="20"/>
              </w:rPr>
              <w:t>对应章节</w:t>
            </w:r>
          </w:p>
        </w:tc>
        <w:tc>
          <w:tcPr>
            <w:tcW w:type="dxa" w:w="2409"/>
            <w:shd w:fill="f5f2f0"/>
          </w:tcPr>
          <w:p>
            <w:r>
              <w:rPr>
                <w:rFonts w:ascii="等线" w:hAnsi="等线" w:eastAsia="等线"/>
                <w:sz w:val="20"/>
              </w:rPr>
              <w:t>对应页码</w:t>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2021-1.组织及其报告做法</w:t>
            </w:r>
          </w:p>
        </w:tc>
        <w:tc>
          <w:tcPr>
            <w:tcW w:type="dxa" w:w="2409"/>
          </w:tcPr>
          <w:p>
            <w:r>
              <w:rPr>
                <w:rFonts w:ascii="等线" w:hAnsi="等线" w:eastAsia="等线"/>
                <w:sz w:val="20"/>
              </w:rPr>
              <w:t>关于报告-报告范围与边界</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2021-1.组织及其报告做法</w:t>
            </w:r>
          </w:p>
        </w:tc>
        <w:tc>
          <w:tcPr>
            <w:tcW w:type="dxa" w:w="2409"/>
          </w:tcPr>
          <w:p>
            <w:r>
              <w:rPr>
                <w:rFonts w:ascii="等线" w:hAnsi="等线" w:eastAsia="等线"/>
                <w:sz w:val="20"/>
              </w:rPr>
              <w:t>关于报告-报告时间范围</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2021-1.组织及其报告做法</w:t>
            </w:r>
          </w:p>
        </w:tc>
        <w:tc>
          <w:tcPr>
            <w:tcW w:type="dxa" w:w="2409"/>
          </w:tcPr>
          <w:p>
            <w:r>
              <w:rPr>
                <w:rFonts w:ascii="等线" w:hAnsi="等线" w:eastAsia="等线"/>
                <w:sz w:val="20"/>
              </w:rPr>
              <w:t>关于报告-可靠性</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2021-1.组织及其报告做法</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2021-2.活动和工作者</w:t>
            </w:r>
          </w:p>
        </w:tc>
        <w:tc>
          <w:tcPr>
            <w:tcW w:type="dxa" w:w="2409"/>
          </w:tcPr>
          <w:p>
            <w:r>
              <w:rPr>
                <w:rFonts w:ascii="等线" w:hAnsi="等线" w:eastAsia="等线"/>
                <w:sz w:val="20"/>
              </w:rPr>
              <w:t>社会-员工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2021-3.管治</w:t>
            </w:r>
          </w:p>
        </w:tc>
        <w:tc>
          <w:tcPr>
            <w:tcW w:type="dxa" w:w="2409"/>
          </w:tcPr>
          <w:p>
            <w:r>
              <w:rPr>
                <w:rFonts w:ascii="等线" w:hAnsi="等线" w:eastAsia="等线"/>
                <w:sz w:val="20"/>
              </w:rPr>
              <w:t>可持续发展管理-治理结构</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2021-4.战略、政策和实践</w:t>
            </w:r>
          </w:p>
        </w:tc>
        <w:tc>
          <w:tcPr>
            <w:tcW w:type="dxa" w:w="2409"/>
          </w:tcPr>
          <w:p>
            <w:r>
              <w:rPr>
                <w:rFonts w:ascii="等线" w:hAnsi="等线" w:eastAsia="等线"/>
                <w:sz w:val="20"/>
              </w:rPr>
              <w:t>环境-污染物排放</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2021-4.战略、政策和实践</w:t>
            </w:r>
          </w:p>
        </w:tc>
        <w:tc>
          <w:tcPr>
            <w:tcW w:type="dxa" w:w="2409"/>
          </w:tcPr>
          <w:p>
            <w:r>
              <w:rPr>
                <w:rFonts w:ascii="等线" w:hAnsi="等线" w:eastAsia="等线"/>
                <w:sz w:val="20"/>
              </w:rPr>
              <w:t>环境-环境合规管理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2021-5.利益相关方参与</w:t>
            </w:r>
          </w:p>
        </w:tc>
        <w:tc>
          <w:tcPr>
            <w:tcW w:type="dxa" w:w="2409"/>
          </w:tcPr>
          <w:p>
            <w:r>
              <w:rPr>
                <w:rFonts w:ascii="等线" w:hAnsi="等线" w:eastAsia="等线"/>
                <w:sz w:val="20"/>
              </w:rPr>
              <w:t>社会-员工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2：一般披露 2021-5.利益相关方参与</w:t>
            </w:r>
          </w:p>
        </w:tc>
        <w:tc>
          <w:tcPr>
            <w:tcW w:type="dxa" w:w="2409"/>
          </w:tcPr>
          <w:p>
            <w:r>
              <w:rPr>
                <w:rFonts w:ascii="等线" w:hAnsi="等线" w:eastAsia="等线"/>
                <w:sz w:val="20"/>
              </w:rPr>
              <w:t>公司治理-利益相关方沟通</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3：实质性议题 2021-2.实质性议题的披露项</w:t>
            </w:r>
          </w:p>
        </w:tc>
        <w:tc>
          <w:tcPr>
            <w:tcW w:type="dxa" w:w="2409"/>
          </w:tcPr>
          <w:p>
            <w:r>
              <w:rPr>
                <w:rFonts w:ascii="等线" w:hAnsi="等线" w:eastAsia="等线"/>
                <w:sz w:val="20"/>
              </w:rPr>
              <w:t>可持续发展管理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3：实质性议题 2021-2.实质性议题的披露项</w:t>
            </w:r>
          </w:p>
        </w:tc>
        <w:tc>
          <w:tcPr>
            <w:tcW w:type="dxa" w:w="2409"/>
          </w:tcPr>
          <w:p>
            <w:r>
              <w:rPr>
                <w:rFonts w:ascii="等线" w:hAnsi="等线" w:eastAsia="等线"/>
                <w:sz w:val="20"/>
              </w:rPr>
              <w:t>可持续发展管理-治理结构</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3：实质性议题 2021-2.实质性议题的披露项</w:t>
            </w:r>
          </w:p>
        </w:tc>
        <w:tc>
          <w:tcPr>
            <w:tcW w:type="dxa" w:w="2409"/>
          </w:tcPr>
          <w:p>
            <w:r>
              <w:rPr>
                <w:rFonts w:ascii="等线" w:hAnsi="等线" w:eastAsia="等线"/>
                <w:sz w:val="20"/>
              </w:rPr>
              <w:t>可持续发展管理-风险与机遇识别</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3：实质性议题 2021-2.实质性议题的披露项</w:t>
            </w:r>
          </w:p>
        </w:tc>
        <w:tc>
          <w:tcPr>
            <w:tcW w:type="dxa" w:w="2409"/>
          </w:tcPr>
          <w:p>
            <w:r>
              <w:rPr>
                <w:rFonts w:ascii="等线" w:hAnsi="等线" w:eastAsia="等线"/>
                <w:sz w:val="20"/>
              </w:rPr>
              <w:t>可持续发展管理-战略与决策应对</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3：实质性议题 2021-2.实质性议题的披露项</w:t>
            </w:r>
          </w:p>
        </w:tc>
        <w:tc>
          <w:tcPr>
            <w:tcW w:type="dxa" w:w="2409"/>
          </w:tcPr>
          <w:p>
            <w:r>
              <w:rPr>
                <w:rFonts w:ascii="等线" w:hAnsi="等线" w:eastAsia="等线"/>
                <w:sz w:val="20"/>
              </w:rPr>
              <w:t>可持续发展管理-风险机遇影响等应对流程</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3：实质性议题 2021-2.实质性议题的披露项</w:t>
            </w:r>
          </w:p>
        </w:tc>
        <w:tc>
          <w:tcPr>
            <w:tcW w:type="dxa" w:w="2409"/>
          </w:tcPr>
          <w:p>
            <w:r>
              <w:rPr>
                <w:rFonts w:ascii="等线" w:hAnsi="等线" w:eastAsia="等线"/>
                <w:sz w:val="20"/>
              </w:rPr>
              <w:t>可持续发展管理-目标与指标披露管理流程</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3：实质性议题 2021-2.实质性议题的披露项</w:t>
            </w:r>
          </w:p>
        </w:tc>
        <w:tc>
          <w:tcPr>
            <w:tcW w:type="dxa" w:w="2409"/>
          </w:tcPr>
          <w:p>
            <w:r>
              <w:rPr>
                <w:rFonts w:ascii="等线" w:hAnsi="等线" w:eastAsia="等线"/>
                <w:sz w:val="20"/>
              </w:rPr>
              <w:t>公司治理-尽职调查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201：经济绩效 2016-2. 议题披露项</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203：间接经济影响 2016-2. 议题披露项</w:t>
            </w:r>
          </w:p>
        </w:tc>
        <w:tc>
          <w:tcPr>
            <w:tcW w:type="dxa" w:w="2409"/>
          </w:tcPr>
          <w:p>
            <w:r>
              <w:rPr>
                <w:rFonts w:ascii="等线" w:hAnsi="等线" w:eastAsia="等线"/>
                <w:sz w:val="20"/>
              </w:rPr>
              <w:t>社会-社会贡献</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205：反腐败 2016-2.议题披露项</w:t>
            </w:r>
          </w:p>
        </w:tc>
        <w:tc>
          <w:tcPr>
            <w:tcW w:type="dxa" w:w="2409"/>
          </w:tcPr>
          <w:p>
            <w:r>
              <w:rPr>
                <w:rFonts w:ascii="等线" w:hAnsi="等线" w:eastAsia="等线"/>
                <w:sz w:val="20"/>
              </w:rPr>
              <w:t>公司治理-反商业贿赂及反贪污</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206：反竞争行为 2016-2.议题披露项</w:t>
            </w:r>
          </w:p>
        </w:tc>
        <w:tc>
          <w:tcPr>
            <w:tcW w:type="dxa" w:w="2409"/>
          </w:tcPr>
          <w:p>
            <w:r>
              <w:rPr>
                <w:rFonts w:ascii="等线" w:hAnsi="等线" w:eastAsia="等线"/>
                <w:sz w:val="20"/>
              </w:rPr>
              <w:t>公司治理-反不正当竞争</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301：物料 2016-2.议题披露项</w:t>
            </w:r>
          </w:p>
        </w:tc>
        <w:tc>
          <w:tcPr>
            <w:tcW w:type="dxa" w:w="2409"/>
          </w:tcPr>
          <w:p>
            <w:r>
              <w:rPr>
                <w:rFonts w:ascii="等线" w:hAnsi="等线" w:eastAsia="等线"/>
                <w:sz w:val="20"/>
              </w:rPr>
              <w:t>环境-循环经济</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302：能源 2016-2.议题披露项</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302：能源 2016-2.议题披露项</w:t>
            </w:r>
          </w:p>
        </w:tc>
        <w:tc>
          <w:tcPr>
            <w:tcW w:type="dxa" w:w="2409"/>
          </w:tcPr>
          <w:p>
            <w:r>
              <w:rPr>
                <w:rFonts w:ascii="等线" w:hAnsi="等线" w:eastAsia="等线"/>
                <w:sz w:val="20"/>
              </w:rPr>
              <w:t>环境-能源利用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303：水资源和污水 2018</w:t>
            </w:r>
          </w:p>
        </w:tc>
        <w:tc>
          <w:tcPr>
            <w:tcW w:type="dxa" w:w="2409"/>
          </w:tcPr>
          <w:p>
            <w:r>
              <w:rPr>
                <w:rFonts w:ascii="等线" w:hAnsi="等线" w:eastAsia="等线"/>
                <w:sz w:val="20"/>
              </w:rPr>
              <w:t>环境-污染物排放</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303：水资源和污水 2018-1.议题管理披露项</w:t>
            </w:r>
          </w:p>
        </w:tc>
        <w:tc>
          <w:tcPr>
            <w:tcW w:type="dxa" w:w="2409"/>
          </w:tcPr>
          <w:p>
            <w:r>
              <w:rPr>
                <w:rFonts w:ascii="等线" w:hAnsi="等线" w:eastAsia="等线"/>
                <w:sz w:val="20"/>
              </w:rPr>
              <w:t>环境-水资源利用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303：水资源和污水 2018-2.议题披露项</w:t>
            </w:r>
          </w:p>
        </w:tc>
        <w:tc>
          <w:tcPr>
            <w:tcW w:type="dxa" w:w="2409"/>
          </w:tcPr>
          <w:p>
            <w:r>
              <w:rPr>
                <w:rFonts w:ascii="等线" w:hAnsi="等线" w:eastAsia="等线"/>
                <w:sz w:val="20"/>
              </w:rPr>
              <w:t>环境-水资源利用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304：生物多样性 2016-2.议题披露项</w:t>
            </w:r>
          </w:p>
        </w:tc>
        <w:tc>
          <w:tcPr>
            <w:tcW w:type="dxa" w:w="2409"/>
          </w:tcPr>
          <w:p>
            <w:r>
              <w:rPr>
                <w:rFonts w:ascii="等线" w:hAnsi="等线" w:eastAsia="等线"/>
                <w:sz w:val="20"/>
              </w:rPr>
              <w:t>环境-生态系统和生物多样性</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305：排放 2016</w:t>
            </w:r>
          </w:p>
        </w:tc>
        <w:tc>
          <w:tcPr>
            <w:tcW w:type="dxa" w:w="2409"/>
          </w:tcPr>
          <w:p>
            <w:r>
              <w:rPr>
                <w:rFonts w:ascii="等线" w:hAnsi="等线" w:eastAsia="等线"/>
                <w:sz w:val="20"/>
              </w:rPr>
              <w:t>环境-污染物排放</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305：排放 2016-2.议题披露项</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306：废弃物 2020-2.议题披露项</w:t>
            </w:r>
          </w:p>
        </w:tc>
        <w:tc>
          <w:tcPr>
            <w:tcW w:type="dxa" w:w="2409"/>
          </w:tcPr>
          <w:p>
            <w:r>
              <w:rPr>
                <w:rFonts w:ascii="等线" w:hAnsi="等线" w:eastAsia="等线"/>
                <w:sz w:val="20"/>
              </w:rPr>
              <w:t>环境-废弃物处理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306：废弃物 2020-2.议题披露项</w:t>
            </w:r>
          </w:p>
        </w:tc>
        <w:tc>
          <w:tcPr>
            <w:tcW w:type="dxa" w:w="2409"/>
          </w:tcPr>
          <w:p>
            <w:r>
              <w:rPr>
                <w:rFonts w:ascii="等线" w:hAnsi="等线" w:eastAsia="等线"/>
                <w:sz w:val="20"/>
              </w:rPr>
              <w:t>环境-循环经济</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308：供应商环境评估 2016-2.议题披露项</w:t>
            </w:r>
          </w:p>
        </w:tc>
        <w:tc>
          <w:tcPr>
            <w:tcW w:type="dxa" w:w="2409"/>
          </w:tcPr>
          <w:p>
            <w:r>
              <w:rPr>
                <w:rFonts w:ascii="等线" w:hAnsi="等线" w:eastAsia="等线"/>
                <w:sz w:val="20"/>
              </w:rPr>
              <w:t>社会-供应链安全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401：雇佣 2016-2.议题披露项</w:t>
            </w:r>
          </w:p>
        </w:tc>
        <w:tc>
          <w:tcPr>
            <w:tcW w:type="dxa" w:w="2409"/>
          </w:tcPr>
          <w:p>
            <w:r>
              <w:rPr>
                <w:rFonts w:ascii="等线" w:hAnsi="等线" w:eastAsia="等线"/>
                <w:sz w:val="20"/>
              </w:rPr>
              <w:t>社会-员工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403：职业健康与安全 2018-1.议题管理披露项</w:t>
            </w:r>
          </w:p>
        </w:tc>
        <w:tc>
          <w:tcPr>
            <w:tcW w:type="dxa" w:w="2409"/>
          </w:tcPr>
          <w:p>
            <w:r>
              <w:rPr>
                <w:rFonts w:ascii="等线" w:hAnsi="等线" w:eastAsia="等线"/>
                <w:sz w:val="20"/>
              </w:rPr>
              <w:t>社会-员工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403：职业健康与安全 2018-2.议题披露项</w:t>
            </w:r>
          </w:p>
        </w:tc>
        <w:tc>
          <w:tcPr>
            <w:tcW w:type="dxa" w:w="2409"/>
          </w:tcPr>
          <w:p>
            <w:r>
              <w:rPr>
                <w:rFonts w:ascii="等线" w:hAnsi="等线" w:eastAsia="等线"/>
                <w:sz w:val="20"/>
              </w:rPr>
              <w:t>社会-员工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404：培训与教育 2016-2.议题披露项</w:t>
            </w:r>
          </w:p>
        </w:tc>
        <w:tc>
          <w:tcPr>
            <w:tcW w:type="dxa" w:w="2409"/>
          </w:tcPr>
          <w:p>
            <w:r>
              <w:rPr>
                <w:rFonts w:ascii="等线" w:hAnsi="等线" w:eastAsia="等线"/>
                <w:sz w:val="20"/>
              </w:rPr>
              <w:t>社会-员工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413：当地社区 2016</w:t>
            </w:r>
          </w:p>
        </w:tc>
        <w:tc>
          <w:tcPr>
            <w:tcW w:type="dxa" w:w="2409"/>
          </w:tcPr>
          <w:p>
            <w:r>
              <w:rPr>
                <w:rFonts w:ascii="等线" w:hAnsi="等线" w:eastAsia="等线"/>
                <w:sz w:val="20"/>
              </w:rPr>
              <w:t>环境-污染物排放</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413：当地社区 2016-2.议题披露项</w:t>
            </w:r>
          </w:p>
        </w:tc>
        <w:tc>
          <w:tcPr>
            <w:tcW w:type="dxa" w:w="2409"/>
          </w:tcPr>
          <w:p>
            <w:r>
              <w:rPr>
                <w:rFonts w:ascii="等线" w:hAnsi="等线" w:eastAsia="等线"/>
                <w:sz w:val="20"/>
              </w:rPr>
              <w:t>环境-污染物排放</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414：供应商社会评估 2016-2.议题披露项</w:t>
            </w:r>
          </w:p>
        </w:tc>
        <w:tc>
          <w:tcPr>
            <w:tcW w:type="dxa" w:w="2409"/>
          </w:tcPr>
          <w:p>
            <w:r>
              <w:rPr>
                <w:rFonts w:ascii="等线" w:hAnsi="等线" w:eastAsia="等线"/>
                <w:sz w:val="20"/>
              </w:rPr>
              <w:t>社会-供应链安全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416：客户健康与安全 2016-2.议题披露项</w:t>
            </w:r>
          </w:p>
        </w:tc>
        <w:tc>
          <w:tcPr>
            <w:tcW w:type="dxa" w:w="2409"/>
          </w:tcPr>
          <w:p>
            <w:r>
              <w:rPr>
                <w:rFonts w:ascii="等线" w:hAnsi="等线" w:eastAsia="等线"/>
                <w:sz w:val="20"/>
              </w:rPr>
              <w:t>社会-产品和服务安全与质量</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417：营销与标识 2016-2.议题披露项</w:t>
            </w:r>
          </w:p>
        </w:tc>
        <w:tc>
          <w:tcPr>
            <w:tcW w:type="dxa" w:w="2409"/>
          </w:tcPr>
          <w:p>
            <w:r>
              <w:rPr>
                <w:rFonts w:ascii="等线" w:hAnsi="等线" w:eastAsia="等线"/>
                <w:sz w:val="20"/>
              </w:rPr>
              <w:t>社会-产品和服务安全与质量</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GRI 418：客户隐私 2016-2.议题披露项</w:t>
            </w:r>
          </w:p>
        </w:tc>
        <w:tc>
          <w:tcPr>
            <w:tcW w:type="dxa" w:w="2409"/>
          </w:tcPr>
          <w:p>
            <w:r>
              <w:rPr>
                <w:rFonts w:ascii="等线" w:hAnsi="等线" w:eastAsia="等线"/>
                <w:sz w:val="20"/>
              </w:rPr>
              <w:t>社会-数据安全与客户隐私保护</w:t>
            </w:r>
          </w:p>
        </w:tc>
        <w:tc>
          <w:tcPr>
            <w:tcW w:type="dxa" w:w="2409"/>
          </w:tcPr>
          <w:p>
            <w:r>
              <w:rPr>
                <w:rFonts w:ascii="等线" w:hAnsi="等线" w:eastAsia="等线"/>
                <w:sz w:val="20"/>
              </w:rPr>
            </w:r>
          </w:p>
        </w:tc>
      </w:tr>
    </w:tbl>
    <w:p>
      <w:r>
        <w:br/>
      </w:r>
    </w:p>
    <w:p>
      <w:r>
        <w:rPr>
          <w:rFonts w:ascii="等线" w:hAnsi="等线" w:eastAsia="等线"/>
          <w:sz w:val="44"/>
          <w:vertAlign w:val="superscript"/>
        </w:rPr>
        <w:t>IFRS S1</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rPr>
                <w:rFonts w:ascii="等线" w:hAnsi="等线" w:eastAsia="等线"/>
                <w:sz w:val="20"/>
              </w:rPr>
              <w:t>披露项编号</w:t>
            </w:r>
          </w:p>
        </w:tc>
        <w:tc>
          <w:tcPr>
            <w:tcW w:type="dxa" w:w="2409"/>
            <w:shd w:fill="f5f2f0"/>
          </w:tcPr>
          <w:p>
            <w:r>
              <w:rPr>
                <w:rFonts w:ascii="等线" w:hAnsi="等线" w:eastAsia="等线"/>
                <w:sz w:val="20"/>
              </w:rPr>
              <w:t>披露议题</w:t>
            </w:r>
          </w:p>
        </w:tc>
        <w:tc>
          <w:tcPr>
            <w:tcW w:type="dxa" w:w="2409"/>
            <w:shd w:fill="f5f2f0"/>
          </w:tcPr>
          <w:p>
            <w:r>
              <w:rPr>
                <w:rFonts w:ascii="等线" w:hAnsi="等线" w:eastAsia="等线"/>
                <w:sz w:val="20"/>
              </w:rPr>
              <w:t>对应章节</w:t>
            </w:r>
          </w:p>
        </w:tc>
        <w:tc>
          <w:tcPr>
            <w:tcW w:type="dxa" w:w="2409"/>
            <w:shd w:fill="f5f2f0"/>
          </w:tcPr>
          <w:p>
            <w:r>
              <w:rPr>
                <w:rFonts w:ascii="等线" w:hAnsi="等线" w:eastAsia="等线"/>
                <w:sz w:val="20"/>
              </w:rPr>
              <w:t>对应页码</w:t>
            </w:r>
          </w:p>
        </w:tc>
      </w:tr>
      <w:tr>
        <w:tc>
          <w:tcPr>
            <w:tcW w:type="dxa" w:w="2409"/>
          </w:tcPr>
          <w:p>
            <w:r>
              <w:rPr>
                <w:rFonts w:ascii="等线" w:hAnsi="等线" w:eastAsia="等线"/>
                <w:sz w:val="20"/>
              </w:rPr>
            </w:r>
          </w:p>
        </w:tc>
        <w:tc>
          <w:tcPr>
            <w:tcW w:type="dxa" w:w="2409"/>
          </w:tcPr>
          <w:p>
            <w:r>
              <w:rPr>
                <w:rFonts w:ascii="等线" w:hAnsi="等线" w:eastAsia="等线"/>
                <w:sz w:val="20"/>
              </w:rPr>
              <w:t>概念基础-公正陈述</w:t>
            </w:r>
          </w:p>
        </w:tc>
        <w:tc>
          <w:tcPr>
            <w:tcW w:type="dxa" w:w="2409"/>
          </w:tcPr>
          <w:p>
            <w:r>
              <w:rPr>
                <w:rFonts w:ascii="等线" w:hAnsi="等线" w:eastAsia="等线"/>
                <w:sz w:val="20"/>
              </w:rPr>
              <w:t>关于报告-可靠性</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概念基础-报告实体</w:t>
            </w:r>
          </w:p>
        </w:tc>
        <w:tc>
          <w:tcPr>
            <w:tcW w:type="dxa" w:w="2409"/>
          </w:tcPr>
          <w:p>
            <w:r>
              <w:rPr>
                <w:rFonts w:ascii="等线" w:hAnsi="等线" w:eastAsia="等线"/>
                <w:sz w:val="20"/>
              </w:rPr>
              <w:t>关于报告-报告范围与边界</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概念基础-报告实体</w:t>
            </w:r>
          </w:p>
        </w:tc>
        <w:tc>
          <w:tcPr>
            <w:tcW w:type="dxa" w:w="2409"/>
          </w:tcPr>
          <w:p>
            <w:r>
              <w:rPr>
                <w:rFonts w:ascii="等线" w:hAnsi="等线" w:eastAsia="等线"/>
                <w:sz w:val="20"/>
              </w:rPr>
              <w:t>关于报告-报告时间范围</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概念基础-报告实体</w:t>
            </w:r>
          </w:p>
        </w:tc>
        <w:tc>
          <w:tcPr>
            <w:tcW w:type="dxa" w:w="2409"/>
          </w:tcPr>
          <w:p>
            <w:r>
              <w:rPr>
                <w:rFonts w:ascii="等线" w:hAnsi="等线" w:eastAsia="等线"/>
                <w:sz w:val="20"/>
              </w:rPr>
              <w:t>关于报告-可靠性</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核心内容-25. 除非另有国际财务报告准则可持续披露标准在特定情况下允许或要求不同，否则，一个实体应当提供关于以下内容的披露：</w:t>
            </w:r>
          </w:p>
        </w:tc>
        <w:tc>
          <w:tcPr>
            <w:tcW w:type="dxa" w:w="2409"/>
          </w:tcPr>
          <w:p>
            <w:r>
              <w:rPr>
                <w:rFonts w:ascii="等线" w:hAnsi="等线" w:eastAsia="等线"/>
                <w:sz w:val="20"/>
              </w:rPr>
              <w:t>可持续发展管理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核心内容-25. 除非另有国际财务报告准则可持续披露标准在特定情况下允许或要求不同，否则，一个实体应当提供关于以下内容的披露：</w:t>
            </w:r>
          </w:p>
        </w:tc>
        <w:tc>
          <w:tcPr>
            <w:tcW w:type="dxa" w:w="2409"/>
          </w:tcPr>
          <w:p>
            <w:r>
              <w:rPr>
                <w:rFonts w:ascii="等线" w:hAnsi="等线" w:eastAsia="等线"/>
                <w:sz w:val="20"/>
              </w:rPr>
              <w:t>可持续发展管理-治理结构</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核心内容-治理</w:t>
            </w:r>
          </w:p>
        </w:tc>
        <w:tc>
          <w:tcPr>
            <w:tcW w:type="dxa" w:w="2409"/>
          </w:tcPr>
          <w:p>
            <w:r>
              <w:rPr>
                <w:rFonts w:ascii="等线" w:hAnsi="等线" w:eastAsia="等线"/>
                <w:sz w:val="20"/>
              </w:rPr>
              <w:t>可持续发展管理-治理结构</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核心内容-策略</w:t>
            </w:r>
          </w:p>
        </w:tc>
        <w:tc>
          <w:tcPr>
            <w:tcW w:type="dxa" w:w="2409"/>
          </w:tcPr>
          <w:p>
            <w:r>
              <w:rPr>
                <w:rFonts w:ascii="等线" w:hAnsi="等线" w:eastAsia="等线"/>
                <w:sz w:val="20"/>
              </w:rPr>
              <w:t>可持续发展管理-风险与机遇识别</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核心内容-策略</w:t>
            </w:r>
          </w:p>
        </w:tc>
        <w:tc>
          <w:tcPr>
            <w:tcW w:type="dxa" w:w="2409"/>
          </w:tcPr>
          <w:p>
            <w:r>
              <w:rPr>
                <w:rFonts w:ascii="等线" w:hAnsi="等线" w:eastAsia="等线"/>
                <w:sz w:val="20"/>
              </w:rPr>
              <w:t>可持续发展管理-战略与决策应对</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核心内容-策略</w:t>
            </w:r>
          </w:p>
        </w:tc>
        <w:tc>
          <w:tcPr>
            <w:tcW w:type="dxa" w:w="2409"/>
          </w:tcPr>
          <w:p>
            <w:r>
              <w:rPr>
                <w:rFonts w:ascii="等线" w:hAnsi="等线" w:eastAsia="等线"/>
                <w:sz w:val="20"/>
              </w:rPr>
              <w:t>可持续发展管理-财务影响</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核心内容-策略</w:t>
            </w:r>
          </w:p>
        </w:tc>
        <w:tc>
          <w:tcPr>
            <w:tcW w:type="dxa" w:w="2409"/>
          </w:tcPr>
          <w:p>
            <w:r>
              <w:rPr>
                <w:rFonts w:ascii="等线" w:hAnsi="等线" w:eastAsia="等线"/>
                <w:sz w:val="20"/>
              </w:rPr>
              <w:t>可持续发展管理-战略适应</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核心内容-风险管理</w:t>
            </w:r>
          </w:p>
        </w:tc>
        <w:tc>
          <w:tcPr>
            <w:tcW w:type="dxa" w:w="2409"/>
          </w:tcPr>
          <w:p>
            <w:r>
              <w:rPr>
                <w:rFonts w:ascii="等线" w:hAnsi="等线" w:eastAsia="等线"/>
                <w:sz w:val="20"/>
              </w:rPr>
              <w:t>可持续发展管理-风险机遇影响等应对流程</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核心内容-指标与目标</w:t>
            </w:r>
          </w:p>
        </w:tc>
        <w:tc>
          <w:tcPr>
            <w:tcW w:type="dxa" w:w="2409"/>
          </w:tcPr>
          <w:p>
            <w:r>
              <w:rPr>
                <w:rFonts w:ascii="等线" w:hAnsi="等线" w:eastAsia="等线"/>
                <w:sz w:val="20"/>
              </w:rPr>
              <w:t>可持续发展管理-目标与指标披露管理流程</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一般要求-关于报告的时间安排</w:t>
            </w:r>
          </w:p>
        </w:tc>
        <w:tc>
          <w:tcPr>
            <w:tcW w:type="dxa" w:w="2409"/>
          </w:tcPr>
          <w:p>
            <w:r>
              <w:rPr>
                <w:rFonts w:ascii="等线" w:hAnsi="等线" w:eastAsia="等线"/>
                <w:sz w:val="20"/>
              </w:rPr>
              <w:t>关于报告-报告范围与边界</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一般要求-关于报告的时间安排</w:t>
            </w:r>
          </w:p>
        </w:tc>
        <w:tc>
          <w:tcPr>
            <w:tcW w:type="dxa" w:w="2409"/>
          </w:tcPr>
          <w:p>
            <w:r>
              <w:rPr>
                <w:rFonts w:ascii="等线" w:hAnsi="等线" w:eastAsia="等线"/>
                <w:sz w:val="20"/>
              </w:rPr>
              <w:t>关于报告-报告时间范围</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一般要求-关于报告的时间安排</w:t>
            </w:r>
          </w:p>
        </w:tc>
        <w:tc>
          <w:tcPr>
            <w:tcW w:type="dxa" w:w="2409"/>
          </w:tcPr>
          <w:p>
            <w:r>
              <w:rPr>
                <w:rFonts w:ascii="等线" w:hAnsi="等线" w:eastAsia="等线"/>
                <w:sz w:val="20"/>
              </w:rPr>
              <w:t>关于报告-可靠性</w:t>
            </w:r>
          </w:p>
        </w:tc>
        <w:tc>
          <w:tcPr>
            <w:tcW w:type="dxa" w:w="2409"/>
          </w:tcPr>
          <w:p>
            <w:r>
              <w:rPr>
                <w:rFonts w:ascii="等线" w:hAnsi="等线" w:eastAsia="等线"/>
                <w:sz w:val="20"/>
              </w:rPr>
            </w:r>
          </w:p>
        </w:tc>
      </w:tr>
    </w:tbl>
    <w:p>
      <w:r>
        <w:br/>
      </w:r>
    </w:p>
    <w:p>
      <w:r>
        <w:rPr>
          <w:rFonts w:ascii="等线" w:hAnsi="等线" w:eastAsia="等线"/>
          <w:sz w:val="44"/>
          <w:vertAlign w:val="superscript"/>
        </w:rPr>
        <w:t>IFRS S2</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rPr>
                <w:rFonts w:ascii="等线" w:hAnsi="等线" w:eastAsia="等线"/>
                <w:sz w:val="20"/>
              </w:rPr>
              <w:t>披露项编号</w:t>
            </w:r>
          </w:p>
        </w:tc>
        <w:tc>
          <w:tcPr>
            <w:tcW w:type="dxa" w:w="2409"/>
            <w:shd w:fill="f5f2f0"/>
          </w:tcPr>
          <w:p>
            <w:r>
              <w:rPr>
                <w:rFonts w:ascii="等线" w:hAnsi="等线" w:eastAsia="等线"/>
                <w:sz w:val="20"/>
              </w:rPr>
              <w:t>披露议题</w:t>
            </w:r>
          </w:p>
        </w:tc>
        <w:tc>
          <w:tcPr>
            <w:tcW w:type="dxa" w:w="2409"/>
            <w:shd w:fill="f5f2f0"/>
          </w:tcPr>
          <w:p>
            <w:r>
              <w:rPr>
                <w:rFonts w:ascii="等线" w:hAnsi="等线" w:eastAsia="等线"/>
                <w:sz w:val="20"/>
              </w:rPr>
              <w:t>对应章节</w:t>
            </w:r>
          </w:p>
        </w:tc>
        <w:tc>
          <w:tcPr>
            <w:tcW w:type="dxa" w:w="2409"/>
            <w:shd w:fill="f5f2f0"/>
          </w:tcPr>
          <w:p>
            <w:r>
              <w:rPr>
                <w:rFonts w:ascii="等线" w:hAnsi="等线" w:eastAsia="等线"/>
                <w:sz w:val="20"/>
              </w:rPr>
              <w:t>对应页码</w:t>
            </w:r>
          </w:p>
        </w:tc>
      </w:tr>
      <w:tr>
        <w:tc>
          <w:tcPr>
            <w:tcW w:type="dxa" w:w="2409"/>
          </w:tcPr>
          <w:p>
            <w:r>
              <w:rPr>
                <w:rFonts w:ascii="等线" w:hAnsi="等线" w:eastAsia="等线"/>
                <w:sz w:val="20"/>
              </w:rPr>
            </w:r>
          </w:p>
        </w:tc>
        <w:tc>
          <w:tcPr>
            <w:tcW w:type="dxa" w:w="2409"/>
          </w:tcPr>
          <w:p>
            <w:r>
              <w:rPr>
                <w:rFonts w:ascii="等线" w:hAnsi="等线" w:eastAsia="等线"/>
                <w:sz w:val="20"/>
              </w:rPr>
              <w:t>核心内容-策略</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核心内容-指标与目标</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bl>
    <w:p>
      <w:r>
        <w:br/>
      </w:r>
    </w:p>
    <w:p>
      <w:r>
        <w:rPr>
          <w:rFonts w:ascii="等线" w:hAnsi="等线" w:eastAsia="等线"/>
          <w:sz w:val="44"/>
          <w:vertAlign w:val="superscript"/>
        </w:rPr>
        <w:t>A股上市公司可持续发展报告披露指引</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rPr>
                <w:rFonts w:ascii="等线" w:hAnsi="等线" w:eastAsia="等线"/>
                <w:sz w:val="20"/>
              </w:rPr>
              <w:t>披露项编号</w:t>
            </w:r>
          </w:p>
        </w:tc>
        <w:tc>
          <w:tcPr>
            <w:tcW w:type="dxa" w:w="2409"/>
            <w:shd w:fill="f5f2f0"/>
          </w:tcPr>
          <w:p>
            <w:r>
              <w:rPr>
                <w:rFonts w:ascii="等线" w:hAnsi="等线" w:eastAsia="等线"/>
                <w:sz w:val="20"/>
              </w:rPr>
              <w:t>披露议题</w:t>
            </w:r>
          </w:p>
        </w:tc>
        <w:tc>
          <w:tcPr>
            <w:tcW w:type="dxa" w:w="2409"/>
            <w:shd w:fill="f5f2f0"/>
          </w:tcPr>
          <w:p>
            <w:r>
              <w:rPr>
                <w:rFonts w:ascii="等线" w:hAnsi="等线" w:eastAsia="等线"/>
                <w:sz w:val="20"/>
              </w:rPr>
              <w:t>对应章节</w:t>
            </w:r>
          </w:p>
        </w:tc>
        <w:tc>
          <w:tcPr>
            <w:tcW w:type="dxa" w:w="2409"/>
            <w:shd w:fill="f5f2f0"/>
          </w:tcPr>
          <w:p>
            <w:r>
              <w:rPr>
                <w:rFonts w:ascii="等线" w:hAnsi="等线" w:eastAsia="等线"/>
                <w:sz w:val="20"/>
              </w:rPr>
              <w:t>对应页码</w:t>
            </w:r>
          </w:p>
        </w:tc>
      </w:tr>
      <w:tr>
        <w:tc>
          <w:tcPr>
            <w:tcW w:type="dxa" w:w="2409"/>
          </w:tcPr>
          <w:p>
            <w:r>
              <w:rPr>
                <w:rFonts w:ascii="等线" w:hAnsi="等线" w:eastAsia="等线"/>
                <w:sz w:val="20"/>
              </w:rPr>
            </w:r>
          </w:p>
        </w:tc>
        <w:tc>
          <w:tcPr>
            <w:tcW w:type="dxa" w:w="2409"/>
          </w:tcPr>
          <w:p>
            <w:r>
              <w:rPr>
                <w:rFonts w:ascii="等线" w:hAnsi="等线" w:eastAsia="等线"/>
                <w:sz w:val="20"/>
              </w:rPr>
              <w:t>第一章 总 则-第四条 披露主体应当在每个会计年度结束后4个月内按照本指引编制《可持续发展报告》，经董事会审议通过后披露，披露时间应当不早于年度报告。</w:t>
              <w:br/>
              <w:t>《可持续发展报告》的报告主体和报告期间应当与年度报告保持一致。</w:t>
            </w:r>
          </w:p>
        </w:tc>
        <w:tc>
          <w:tcPr>
            <w:tcW w:type="dxa" w:w="2409"/>
          </w:tcPr>
          <w:p>
            <w:r>
              <w:rPr>
                <w:rFonts w:ascii="等线" w:hAnsi="等线" w:eastAsia="等线"/>
                <w:sz w:val="20"/>
              </w:rPr>
              <w:t>关于报告-报告范围与边界</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第一章 总 则-第四条 披露主体应当在每个会计年度结束后4个月内按照本指引编制《可持续发展报告》，经董事会审议通过后披露，披露时间应当不早于年度报告。</w:t>
              <w:br/>
              <w:t>《可持续发展报告》的报告主体和报告期间应当与年度报告保持一致。</w:t>
            </w:r>
          </w:p>
        </w:tc>
        <w:tc>
          <w:tcPr>
            <w:tcW w:type="dxa" w:w="2409"/>
          </w:tcPr>
          <w:p>
            <w:r>
              <w:rPr>
                <w:rFonts w:ascii="等线" w:hAnsi="等线" w:eastAsia="等线"/>
                <w:sz w:val="20"/>
              </w:rPr>
              <w:t>关于报告-报告时间范围</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第一章 总 则-第四条 披露主体应当在每个会计年度结束后4个月内按照本指引编制《可持续发展报告》，经董事会审议通过后披露，披露时间应当不早于年度报告。</w:t>
              <w:br/>
              <w:t>《可持续发展报告》的报告主体和报告期间应当与年度报告保持一致。</w:t>
            </w:r>
          </w:p>
        </w:tc>
        <w:tc>
          <w:tcPr>
            <w:tcW w:type="dxa" w:w="2409"/>
          </w:tcPr>
          <w:p>
            <w:r>
              <w:rPr>
                <w:rFonts w:ascii="等线" w:hAnsi="等线" w:eastAsia="等线"/>
                <w:sz w:val="20"/>
              </w:rPr>
              <w:t>关于报告-可靠性</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第一章 总 则-第六条 披露主体披露的可持续发展相关信息应当客观、真实地反映披露主体在可持续发展方面的表现，不得进行选择性披露，不得与依法披露的信息相冲突，不得误导投资者及其他利益相关方，并应当符合下列要求：</w:t>
            </w:r>
          </w:p>
        </w:tc>
        <w:tc>
          <w:tcPr>
            <w:tcW w:type="dxa" w:w="2409"/>
          </w:tcPr>
          <w:p>
            <w:r>
              <w:rPr>
                <w:rFonts w:ascii="等线" w:hAnsi="等线" w:eastAsia="等线"/>
                <w:sz w:val="20"/>
              </w:rPr>
              <w:t>关于报告-可靠性</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可持续发展信息披露框架-第十一条 本指引设置的议题以及披露主体根据本指引第五条第三款识别的议题，对披露主体具有财务重要性的，披露主体应当围绕下列四个方面核心内容以及本指引对有关具体议题的规定进行分析和披露：</w:t>
            </w:r>
          </w:p>
        </w:tc>
        <w:tc>
          <w:tcPr>
            <w:tcW w:type="dxa" w:w="2409"/>
          </w:tcPr>
          <w:p>
            <w:r>
              <w:rPr>
                <w:rFonts w:ascii="等线" w:hAnsi="等线" w:eastAsia="等线"/>
                <w:sz w:val="20"/>
              </w:rPr>
              <w:t>可持续发展管理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可持续发展信息披露框架-第十二条 披露主体应当建立健全公司治理结构和内部制度，确保公司相关内部机构具备足够的专业能力并有效履行可持续发展相关影响、风险和机遇的识别、评估、管理、监督等职能。披露主体应当披露下列治理相关信息：</w:t>
            </w:r>
          </w:p>
        </w:tc>
        <w:tc>
          <w:tcPr>
            <w:tcW w:type="dxa" w:w="2409"/>
          </w:tcPr>
          <w:p>
            <w:r>
              <w:rPr>
                <w:rFonts w:ascii="等线" w:hAnsi="等线" w:eastAsia="等线"/>
                <w:sz w:val="20"/>
              </w:rPr>
              <w:t>可持续发展管理-治理结构</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可持续发展信息披露框架-第十三条 披露主体应当按照本指引第十四条至第十七条的规定，分析和披露应对可持续发展相关影响、风险和机遇的相关战略。</w:t>
            </w:r>
          </w:p>
        </w:tc>
        <w:tc>
          <w:tcPr>
            <w:tcW w:type="dxa" w:w="2409"/>
          </w:tcPr>
          <w:p>
            <w:r>
              <w:rPr>
                <w:rFonts w:ascii="等线" w:hAnsi="等线" w:eastAsia="等线"/>
                <w:sz w:val="20"/>
              </w:rPr>
              <w:t>可持续发展管理-战略与决策应对</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可持续发展信息披露框架-第十四条 披露主体应当识别并充分评估可能在短期、中期或长期内对公司商业模式、业务运营、发展战略、财务状况、经营成果、现金流、融资方式及成本等产生重大影响的可持续发展相关风险和机遇，并披露下列内容：</w:t>
            </w:r>
          </w:p>
        </w:tc>
        <w:tc>
          <w:tcPr>
            <w:tcW w:type="dxa" w:w="2409"/>
          </w:tcPr>
          <w:p>
            <w:r>
              <w:rPr>
                <w:rFonts w:ascii="等线" w:hAnsi="等线" w:eastAsia="等线"/>
                <w:sz w:val="20"/>
              </w:rPr>
              <w:t>可持续发展管理-风险与机遇识别</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可持续发展信息披露框架-第十五条 披露主体应当披露可持续发展相关影响、风险和机遇对公司战略和决策的影响，包括但不限于下列内容：</w:t>
            </w:r>
          </w:p>
        </w:tc>
        <w:tc>
          <w:tcPr>
            <w:tcW w:type="dxa" w:w="2409"/>
          </w:tcPr>
          <w:p>
            <w:r>
              <w:rPr>
                <w:rFonts w:ascii="等线" w:hAnsi="等线" w:eastAsia="等线"/>
                <w:sz w:val="20"/>
              </w:rPr>
              <w:t>可持续发展管理-战略与决策应对</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可持续发展信息披露框架-第十六条 披露主体应当分析并披露可持续发展相关风险和机遇对公司当期财务状况、经营成果、现金流的影响，以及相关风险和机遇是否会对公司下一年度财务状况、经营成果、现金流产生重大影响。</w:t>
              <w:br/>
              <w:t>本所鼓励披露主体披露可持续发展相关风险和机遇对公司财务状况、经营成果、现金流在短期、中期和长期内的影响，包括但不限于下列定性和定量信息：</w:t>
            </w:r>
          </w:p>
        </w:tc>
        <w:tc>
          <w:tcPr>
            <w:tcW w:type="dxa" w:w="2409"/>
          </w:tcPr>
          <w:p>
            <w:r>
              <w:rPr>
                <w:rFonts w:ascii="等线" w:hAnsi="等线" w:eastAsia="等线"/>
                <w:sz w:val="20"/>
              </w:rPr>
              <w:t>可持续发展管理-财务影响</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可持续发展信息披露框架-第十七条 本所鼓励披露主体评估并披露公司的战略及商业模式对可持续发展相关风险的适应性，包括评估方式、时间范围、评估结果等。</w:t>
            </w:r>
          </w:p>
        </w:tc>
        <w:tc>
          <w:tcPr>
            <w:tcW w:type="dxa" w:w="2409"/>
          </w:tcPr>
          <w:p>
            <w:r>
              <w:rPr>
                <w:rFonts w:ascii="等线" w:hAnsi="等线" w:eastAsia="等线"/>
                <w:sz w:val="20"/>
              </w:rPr>
              <w:t>可持续发展管理-战略适应</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可持续发展信息披露框架-第十八条 披露主体应当披露用于识别、评估及管理可持续发展相关影响、风险和机遇的流程，包括但不限于下列内容：</w:t>
            </w:r>
          </w:p>
        </w:tc>
        <w:tc>
          <w:tcPr>
            <w:tcW w:type="dxa" w:w="2409"/>
          </w:tcPr>
          <w:p>
            <w:r>
              <w:rPr>
                <w:rFonts w:ascii="等线" w:hAnsi="等线" w:eastAsia="等线"/>
                <w:sz w:val="20"/>
              </w:rPr>
              <w:t>可持续发展管理-风险机遇影响等应对流程</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第二章 可持续发展信息披露框架-第十九条 披露主体应当披露根据相关法律法规、本指引要求以及自身需要设定的可持续发展目标及相关指标，并披露报告期末相关目标整体实现情况以及报告期内的进展情况。</w:t>
            </w:r>
          </w:p>
        </w:tc>
        <w:tc>
          <w:tcPr>
            <w:tcW w:type="dxa" w:w="2409"/>
          </w:tcPr>
          <w:p>
            <w:r>
              <w:rPr>
                <w:rFonts w:ascii="等线" w:hAnsi="等线" w:eastAsia="等线"/>
                <w:sz w:val="20"/>
              </w:rPr>
              <w:t>可持续发展管理-目标与指标披露管理流程</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环境信息披露-第一节 应对气候变化</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环境信息披露-第二节 污染防治与生态系统保护</w:t>
            </w:r>
          </w:p>
        </w:tc>
        <w:tc>
          <w:tcPr>
            <w:tcW w:type="dxa" w:w="2409"/>
          </w:tcPr>
          <w:p>
            <w:r>
              <w:rPr>
                <w:rFonts w:ascii="等线" w:hAnsi="等线" w:eastAsia="等线"/>
                <w:sz w:val="20"/>
              </w:rPr>
              <w:t>环境-污染物排放</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环境信息披露-第二节 污染防治与生态系统保护</w:t>
            </w:r>
          </w:p>
        </w:tc>
        <w:tc>
          <w:tcPr>
            <w:tcW w:type="dxa" w:w="2409"/>
          </w:tcPr>
          <w:p>
            <w:r>
              <w:rPr>
                <w:rFonts w:ascii="等线" w:hAnsi="等线" w:eastAsia="等线"/>
                <w:sz w:val="20"/>
              </w:rPr>
              <w:t>环境-废弃物处理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环境信息披露-第二节 污染防治与生态系统保护</w:t>
            </w:r>
          </w:p>
        </w:tc>
        <w:tc>
          <w:tcPr>
            <w:tcW w:type="dxa" w:w="2409"/>
          </w:tcPr>
          <w:p>
            <w:r>
              <w:rPr>
                <w:rFonts w:ascii="等线" w:hAnsi="等线" w:eastAsia="等线"/>
                <w:sz w:val="20"/>
              </w:rPr>
              <w:t>环境-生态系统和生物多样性</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环境信息披露-第二节 污染防治与生态系统保护</w:t>
            </w:r>
          </w:p>
        </w:tc>
        <w:tc>
          <w:tcPr>
            <w:tcW w:type="dxa" w:w="2409"/>
          </w:tcPr>
          <w:p>
            <w:r>
              <w:rPr>
                <w:rFonts w:ascii="等线" w:hAnsi="等线" w:eastAsia="等线"/>
                <w:sz w:val="20"/>
              </w:rPr>
              <w:t>环境-环境合规管理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环境信息披露-第三节 资源利用与循环经济</w:t>
            </w:r>
          </w:p>
        </w:tc>
        <w:tc>
          <w:tcPr>
            <w:tcW w:type="dxa" w:w="2409"/>
          </w:tcPr>
          <w:p>
            <w:r>
              <w:rPr>
                <w:rFonts w:ascii="等线" w:hAnsi="等线" w:eastAsia="等线"/>
                <w:sz w:val="20"/>
              </w:rPr>
              <w:t>环境-能源利用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环境信息披露-第三节 资源利用与循环经济</w:t>
            </w:r>
          </w:p>
        </w:tc>
        <w:tc>
          <w:tcPr>
            <w:tcW w:type="dxa" w:w="2409"/>
          </w:tcPr>
          <w:p>
            <w:r>
              <w:rPr>
                <w:rFonts w:ascii="等线" w:hAnsi="等线" w:eastAsia="等线"/>
                <w:sz w:val="20"/>
              </w:rPr>
              <w:t>环境-水资源利用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第三章 环境信息披露-第三节 资源利用与循环经济</w:t>
            </w:r>
          </w:p>
        </w:tc>
        <w:tc>
          <w:tcPr>
            <w:tcW w:type="dxa" w:w="2409"/>
          </w:tcPr>
          <w:p>
            <w:r>
              <w:rPr>
                <w:rFonts w:ascii="等线" w:hAnsi="等线" w:eastAsia="等线"/>
                <w:sz w:val="20"/>
              </w:rPr>
              <w:t>环境-循环经济</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社会信息披露-第一节 乡村振兴与社会贡献</w:t>
            </w:r>
          </w:p>
        </w:tc>
        <w:tc>
          <w:tcPr>
            <w:tcW w:type="dxa" w:w="2409"/>
          </w:tcPr>
          <w:p>
            <w:r>
              <w:rPr>
                <w:rFonts w:ascii="等线" w:hAnsi="等线" w:eastAsia="等线"/>
                <w:sz w:val="20"/>
              </w:rPr>
              <w:t>社会-乡村振兴</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社会信息披露-第一节 乡村振兴与社会贡献</w:t>
            </w:r>
          </w:p>
        </w:tc>
        <w:tc>
          <w:tcPr>
            <w:tcW w:type="dxa" w:w="2409"/>
          </w:tcPr>
          <w:p>
            <w:r>
              <w:rPr>
                <w:rFonts w:ascii="等线" w:hAnsi="等线" w:eastAsia="等线"/>
                <w:sz w:val="20"/>
              </w:rPr>
              <w:t>社会-社会贡献</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社会信息披露-第二节 创新驱动与科技伦理</w:t>
            </w:r>
          </w:p>
        </w:tc>
        <w:tc>
          <w:tcPr>
            <w:tcW w:type="dxa" w:w="2409"/>
          </w:tcPr>
          <w:p>
            <w:r>
              <w:rPr>
                <w:rFonts w:ascii="等线" w:hAnsi="等线" w:eastAsia="等线"/>
                <w:sz w:val="20"/>
              </w:rPr>
              <w:t>社会-创新驱动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社会信息披露-第二节 创新驱动与科技伦理</w:t>
            </w:r>
          </w:p>
        </w:tc>
        <w:tc>
          <w:tcPr>
            <w:tcW w:type="dxa" w:w="2409"/>
          </w:tcPr>
          <w:p>
            <w:r>
              <w:rPr>
                <w:rFonts w:ascii="等线" w:hAnsi="等线" w:eastAsia="等线"/>
                <w:sz w:val="20"/>
              </w:rPr>
              <w:t>社会-科技伦理</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社会信息披露-第三节 供应商与客户</w:t>
            </w:r>
          </w:p>
        </w:tc>
        <w:tc>
          <w:tcPr>
            <w:tcW w:type="dxa" w:w="2409"/>
          </w:tcPr>
          <w:p>
            <w:r>
              <w:rPr>
                <w:rFonts w:ascii="等线" w:hAnsi="等线" w:eastAsia="等线"/>
                <w:sz w:val="20"/>
              </w:rPr>
              <w:t>社会-供应链安全</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社会信息披露-第三节 供应商与客户</w:t>
            </w:r>
          </w:p>
        </w:tc>
        <w:tc>
          <w:tcPr>
            <w:tcW w:type="dxa" w:w="2409"/>
          </w:tcPr>
          <w:p>
            <w:r>
              <w:rPr>
                <w:rFonts w:ascii="等线" w:hAnsi="等线" w:eastAsia="等线"/>
                <w:sz w:val="20"/>
              </w:rPr>
              <w:t>社会-产品和服务安全与质量</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社会信息披露-第三节 供应商与客户</w:t>
            </w:r>
          </w:p>
        </w:tc>
        <w:tc>
          <w:tcPr>
            <w:tcW w:type="dxa" w:w="2409"/>
          </w:tcPr>
          <w:p>
            <w:r>
              <w:rPr>
                <w:rFonts w:ascii="等线" w:hAnsi="等线" w:eastAsia="等线"/>
                <w:sz w:val="20"/>
              </w:rPr>
              <w:t>社会-数据安全与客户隐私保护</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第四章 社会信息披露-第四节 员工</w:t>
            </w:r>
          </w:p>
        </w:tc>
        <w:tc>
          <w:tcPr>
            <w:tcW w:type="dxa" w:w="2409"/>
          </w:tcPr>
          <w:p>
            <w:r>
              <w:rPr>
                <w:rFonts w:ascii="等线" w:hAnsi="等线" w:eastAsia="等线"/>
                <w:sz w:val="20"/>
              </w:rPr>
              <w:t>社会-员工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第五章 可持续发展相关治理信息披露-第一节 可持续发展相关治理机制</w:t>
            </w:r>
          </w:p>
        </w:tc>
        <w:tc>
          <w:tcPr>
            <w:tcW w:type="dxa" w:w="2409"/>
          </w:tcPr>
          <w:p>
            <w:r>
              <w:rPr>
                <w:rFonts w:ascii="等线" w:hAnsi="等线" w:eastAsia="等线"/>
                <w:sz w:val="20"/>
              </w:rPr>
              <w:t>公司治理-尽职调查</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第五章 可持续发展相关治理信息披露-第一节 可持续发展相关治理机制</w:t>
            </w:r>
          </w:p>
        </w:tc>
        <w:tc>
          <w:tcPr>
            <w:tcW w:type="dxa" w:w="2409"/>
          </w:tcPr>
          <w:p>
            <w:r>
              <w:rPr>
                <w:rFonts w:ascii="等线" w:hAnsi="等线" w:eastAsia="等线"/>
                <w:sz w:val="20"/>
              </w:rPr>
              <w:t>公司治理-利益相关方沟通</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第五章 可持续发展相关治理信息披露-第二节 商业行为</w:t>
            </w:r>
          </w:p>
        </w:tc>
        <w:tc>
          <w:tcPr>
            <w:tcW w:type="dxa" w:w="2409"/>
          </w:tcPr>
          <w:p>
            <w:r>
              <w:rPr>
                <w:rFonts w:ascii="等线" w:hAnsi="等线" w:eastAsia="等线"/>
                <w:sz w:val="20"/>
              </w:rPr>
              <w:t>公司治理-反商业贿赂及反贪污</w:t>
            </w:r>
          </w:p>
        </w:tc>
        <w:tc>
          <w:tcPr>
            <w:tcW w:type="dxa" w:w="2409"/>
          </w:tcPr>
          <w:p>
            <w:r>
              <w:rPr>
                <w:rFonts w:ascii="等线" w:hAnsi="等线" w:eastAsia="等线"/>
                <w:sz w:val="20"/>
              </w:rPr>
            </w:r>
          </w:p>
        </w:tc>
      </w:tr>
      <w:tr>
        <w:tc>
          <w:tcPr>
            <w:tcW w:type="dxa" w:w="2409"/>
          </w:tcPr>
          <w:p>
            <w:r>
              <w:rPr>
                <w:rFonts w:ascii="等线" w:hAnsi="等线" w:eastAsia="等线"/>
                <w:sz w:val="20"/>
              </w:rPr>
            </w:r>
          </w:p>
        </w:tc>
        <w:tc>
          <w:tcPr>
            <w:tcW w:type="dxa" w:w="2409"/>
          </w:tcPr>
          <w:p>
            <w:r>
              <w:rPr>
                <w:rFonts w:ascii="等线" w:hAnsi="等线" w:eastAsia="等线"/>
                <w:sz w:val="20"/>
              </w:rPr>
              <w:t>第五章 可持续发展相关治理信息披露-第二节 商业行为</w:t>
            </w:r>
          </w:p>
        </w:tc>
        <w:tc>
          <w:tcPr>
            <w:tcW w:type="dxa" w:w="2409"/>
          </w:tcPr>
          <w:p>
            <w:r>
              <w:rPr>
                <w:rFonts w:ascii="等线" w:hAnsi="等线" w:eastAsia="等线"/>
                <w:sz w:val="20"/>
              </w:rPr>
              <w:t>公司治理-反不正当竞争</w:t>
            </w:r>
          </w:p>
        </w:tc>
        <w:tc>
          <w:tcPr>
            <w:tcW w:type="dxa" w:w="2409"/>
          </w:tcPr>
          <w:p>
            <w:r>
              <w:rPr>
                <w:rFonts w:ascii="等线" w:hAnsi="等线" w:eastAsia="等线"/>
                <w:sz w:val="20"/>
              </w:rPr>
            </w:r>
          </w:p>
        </w:tc>
      </w:tr>
    </w:tbl>
    <w:p>
      <w:r>
        <w:br/>
      </w:r>
    </w:p>
    <w:p>
      <w:r>
        <w:rPr>
          <w:rFonts w:ascii="等线" w:hAnsi="等线" w:eastAsia="等线"/>
          <w:sz w:val="44"/>
          <w:vertAlign w:val="superscript"/>
        </w:rPr>
        <w:t>港交所上市公司ESG披露指引</w:t>
      </w:r>
    </w:p>
    <w:tbl>
      <w:tblPr>
        <w:tblStyle w:val="TableGrid"/>
        <w:tblW w:type="auto" w:w="0"/>
        <w:tblLook w:firstColumn="1" w:firstRow="1" w:lastColumn="0" w:lastRow="0" w:noHBand="0" w:noVBand="1" w:val="04A0"/>
      </w:tblPr>
      <w:tblGrid>
        <w:gridCol w:w="2409"/>
        <w:gridCol w:w="2409"/>
        <w:gridCol w:w="2409"/>
        <w:gridCol w:w="2409"/>
      </w:tblGrid>
      <w:tr>
        <w:tc>
          <w:tcPr>
            <w:tcW w:type="dxa" w:w="2409"/>
            <w:shd w:fill="f5f2f0"/>
          </w:tcPr>
          <w:p>
            <w:r>
              <w:rPr>
                <w:rFonts w:ascii="等线" w:hAnsi="等线" w:eastAsia="等线"/>
                <w:sz w:val="20"/>
              </w:rPr>
              <w:t>披露项编号</w:t>
            </w:r>
          </w:p>
        </w:tc>
        <w:tc>
          <w:tcPr>
            <w:tcW w:type="dxa" w:w="2409"/>
            <w:shd w:fill="f5f2f0"/>
          </w:tcPr>
          <w:p>
            <w:r>
              <w:rPr>
                <w:rFonts w:ascii="等线" w:hAnsi="等线" w:eastAsia="等线"/>
                <w:sz w:val="20"/>
              </w:rPr>
              <w:t>披露议题</w:t>
            </w:r>
          </w:p>
        </w:tc>
        <w:tc>
          <w:tcPr>
            <w:tcW w:type="dxa" w:w="2409"/>
            <w:shd w:fill="f5f2f0"/>
          </w:tcPr>
          <w:p>
            <w:r>
              <w:rPr>
                <w:rFonts w:ascii="等线" w:hAnsi="等线" w:eastAsia="等线"/>
                <w:sz w:val="20"/>
              </w:rPr>
              <w:t>对应章节</w:t>
            </w:r>
          </w:p>
        </w:tc>
        <w:tc>
          <w:tcPr>
            <w:tcW w:type="dxa" w:w="2409"/>
            <w:shd w:fill="f5f2f0"/>
          </w:tcPr>
          <w:p>
            <w:r>
              <w:rPr>
                <w:rFonts w:ascii="等线" w:hAnsi="等线" w:eastAsia="等线"/>
                <w:sz w:val="20"/>
              </w:rPr>
              <w:t>对应页码</w:t>
            </w:r>
          </w:p>
        </w:tc>
      </w:tr>
      <w:tr>
        <w:tc>
          <w:tcPr>
            <w:tcW w:type="dxa" w:w="2409"/>
          </w:tcPr>
          <w:p>
            <w:r>
              <w:rPr>
                <w:rFonts w:ascii="等线" w:hAnsi="等线" w:eastAsia="等线"/>
                <w:sz w:val="20"/>
              </w:rPr>
            </w:r>
          </w:p>
        </w:tc>
        <w:tc>
          <w:tcPr>
            <w:tcW w:type="dxa" w:w="2409"/>
          </w:tcPr>
          <w:p>
            <w:r>
              <w:rPr>
                <w:rFonts w:ascii="等线" w:hAnsi="等线" w:eastAsia="等线"/>
                <w:sz w:val="20"/>
              </w:rPr>
              <w:t>A.环境-A0. 气候变化</w:t>
            </w:r>
          </w:p>
        </w:tc>
        <w:tc>
          <w:tcPr>
            <w:tcW w:type="dxa" w:w="2409"/>
          </w:tcPr>
          <w:p>
            <w:r>
              <w:rPr>
                <w:rFonts w:ascii="等线" w:hAnsi="等线" w:eastAsia="等线"/>
                <w:sz w:val="20"/>
              </w:rPr>
              <w:t>环境-应对气候变化</w:t>
            </w:r>
          </w:p>
        </w:tc>
        <w:tc>
          <w:tcPr>
            <w:tcW w:type="dxa" w:w="2409"/>
          </w:tcPr>
          <w:p>
            <w:r>
              <w:rPr>
                <w:rFonts w:ascii="等线" w:hAnsi="等线" w:eastAsia="等线"/>
                <w:sz w:val="20"/>
              </w:rPr>
            </w:r>
          </w:p>
        </w:tc>
      </w:tr>
    </w:tbl>
    <w:p>
      <w:r>
        <w:br/>
      </w:r>
    </w:p>
    <w:p>
      <w:r>
        <w:br w:type="page"/>
      </w:r>
    </w:p>
    <w:p>
      <w:pPr>
        <w:pStyle w:val="Heading1"/>
      </w:pPr>
      <w:r>
        <w:rPr>
          <w:rFonts w:ascii="等线" w:hAnsi="等线" w:eastAsia="等线"/>
          <w:color w:val="000000"/>
          <w:sz w:val="44"/>
        </w:rPr>
        <w:t>未覆盖标准说明</w:t>
      </w:r>
    </w:p>
    <w:p>
      <w:r>
        <w:br w:type="page"/>
      </w:r>
    </w:p>
    <w:sectPr w:rsidR="00FC693F" w:rsidRPr="0006063C" w:rsidSect="00034616">
      <w:pgSz w:w="11906" w:h="16838"/>
      <w:pgMar w:top="850" w:right="1134" w:bottom="850"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